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1340"/>
        </w:tabs>
        <w:spacing w:line="600" w:lineRule="exact"/>
        <w:jc w:val="both"/>
        <w:rPr>
          <w:rFonts w:hint="default" w:ascii="方正小标宋_GBK" w:hAnsi="华文中宋" w:eastAsia="方正小标宋_GBK"/>
          <w:b/>
          <w:bCs/>
          <w:spacing w:val="3"/>
          <w:sz w:val="44"/>
          <w:szCs w:val="44"/>
          <w:highlight w:val="none"/>
          <w:lang w:val="en-US" w:eastAsia="zh-CN"/>
        </w:rPr>
      </w:pPr>
    </w:p>
    <w:p>
      <w:pPr>
        <w:shd w:val="clear"/>
        <w:tabs>
          <w:tab w:val="left" w:pos="11340"/>
        </w:tabs>
        <w:spacing w:line="600" w:lineRule="exact"/>
        <w:jc w:val="center"/>
        <w:rPr>
          <w:rFonts w:ascii="方正小标宋_GBK" w:hAnsi="华文中宋" w:eastAsia="方正小标宋_GBK"/>
          <w:b/>
          <w:bCs/>
          <w:spacing w:val="3"/>
          <w:sz w:val="44"/>
          <w:szCs w:val="44"/>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惠州市国有建设用地使用权</w:t>
      </w:r>
    </w:p>
    <w:p>
      <w:pPr>
        <w:shd w:val="clear"/>
        <w:tabs>
          <w:tab w:val="left" w:pos="11340"/>
        </w:tabs>
        <w:spacing w:line="600" w:lineRule="exact"/>
        <w:jc w:val="center"/>
        <w:rPr>
          <w:rFonts w:ascii="方正小标宋_GBK" w:eastAsia="方正小标宋_GBK"/>
          <w:b/>
          <w:bCs/>
          <w:spacing w:val="3"/>
          <w:sz w:val="48"/>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网上挂牌</w:t>
      </w:r>
      <w:r>
        <w:rPr>
          <w:rFonts w:hint="eastAsia" w:ascii="方正小标宋_GBK" w:hAnsi="华文中宋" w:eastAsia="方正小标宋_GBK"/>
          <w:b/>
          <w:bCs/>
          <w:sz w:val="44"/>
          <w:szCs w:val="44"/>
          <w:highlight w:val="none"/>
          <w:shd w:val="clear" w:color="auto" w:fill="auto"/>
        </w:rPr>
        <w:t>出让须知</w:t>
      </w:r>
    </w:p>
    <w:p>
      <w:pPr>
        <w:shd w:val="clear"/>
        <w:spacing w:line="600" w:lineRule="exact"/>
        <w:jc w:val="center"/>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惠公易土市直[20</w:t>
      </w:r>
      <w:r>
        <w:rPr>
          <w:rFonts w:hint="eastAsia" w:ascii="仿宋_GB2312" w:hAnsi="仿宋_GB2312" w:eastAsia="仿宋_GB2312" w:cs="仿宋_GB2312"/>
          <w:sz w:val="32"/>
          <w:szCs w:val="32"/>
          <w:highlight w:val="none"/>
          <w:shd w:val="clear" w:color="auto" w:fill="auto"/>
          <w:lang w:val="en-US" w:eastAsia="zh-CN"/>
        </w:rPr>
        <w:t>21</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042</w:t>
      </w:r>
      <w:r>
        <w:rPr>
          <w:rFonts w:hint="eastAsia" w:ascii="仿宋_GB2312" w:hAnsi="仿宋_GB2312" w:eastAsia="仿宋_GB2312" w:cs="仿宋_GB2312"/>
          <w:sz w:val="32"/>
          <w:szCs w:val="32"/>
          <w:highlight w:val="none"/>
          <w:shd w:val="clear" w:color="auto" w:fill="auto"/>
        </w:rPr>
        <w:t>号</w:t>
      </w:r>
    </w:p>
    <w:p>
      <w:pPr>
        <w:shd w:val="clear"/>
        <w:rPr>
          <w:rFonts w:ascii="仿宋_GB2312" w:hAnsi="仿宋_GB2312" w:eastAsia="仿宋_GB2312" w:cs="仿宋_GB2312"/>
          <w:sz w:val="32"/>
          <w:szCs w:val="32"/>
          <w:highlight w:val="none"/>
          <w:shd w:val="clear" w:color="auto" w:fill="auto"/>
        </w:rPr>
      </w:pP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根据《中华人民共和国土地管理法》、《中华人民共和国城市房地产管理法》、《招标拍卖挂牌出让国有建设用地使用权规定》以及《招标拍卖挂牌出让国有土地使用权规范》等有关规定，经惠州市</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人民政府批准，受惠州市</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自然资源局委托，本中心以网上挂牌交易方式出让下列国有建设用地使用权。</w:t>
      </w:r>
      <w:bookmarkStart w:id="0" w:name="99"/>
      <w:bookmarkEnd w:id="0"/>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一、本次国有建设用地使用权网上挂牌出让的出让人为惠州市</w:t>
      </w:r>
      <w:r>
        <w:rPr>
          <w:rFonts w:hint="eastAsia" w:ascii="仿宋_GB2312" w:hAnsi="仿宋_GB2312" w:eastAsia="仿宋_GB2312" w:cs="仿宋_GB2312"/>
          <w:b/>
          <w:bCs/>
          <w:sz w:val="32"/>
          <w:szCs w:val="32"/>
          <w:highlight w:val="none"/>
          <w:shd w:val="clear" w:color="auto" w:fill="auto"/>
          <w:lang w:val="en-US" w:eastAsia="zh-CN"/>
        </w:rPr>
        <w:t>惠城区</w:t>
      </w:r>
      <w:r>
        <w:rPr>
          <w:rFonts w:hint="eastAsia" w:ascii="仿宋_GB2312" w:hAnsi="仿宋_GB2312" w:eastAsia="仿宋_GB2312" w:cs="仿宋_GB2312"/>
          <w:b/>
          <w:bCs/>
          <w:sz w:val="32"/>
          <w:szCs w:val="32"/>
          <w:highlight w:val="none"/>
          <w:shd w:val="clear" w:color="auto" w:fill="auto"/>
        </w:rPr>
        <w:t>自然资源局，具体组织实施由惠州市公共资源交易中心承办。</w:t>
      </w:r>
      <w:bookmarkStart w:id="1" w:name="100"/>
      <w:bookmarkEnd w:id="1"/>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二、本次国有建设用地使用权网上挂牌出让遵循公开、公平、公正和诚实信用原则。</w:t>
      </w:r>
      <w:bookmarkStart w:id="2" w:name="101"/>
      <w:bookmarkEnd w:id="2"/>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三、出让地块的基本情况及规划指标要求</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（一）挂牌地块编号：GP20</w:t>
      </w:r>
      <w:r>
        <w:rPr>
          <w:rFonts w:hint="eastAsia" w:ascii="仿宋_GB2312" w:hAnsi="仿宋_GB2312" w:eastAsia="仿宋_GB2312" w:cs="仿宋_GB2312"/>
          <w:sz w:val="32"/>
          <w:szCs w:val="32"/>
          <w:highlight w:val="none"/>
          <w:shd w:val="clear" w:color="auto" w:fill="auto"/>
          <w:lang w:val="en-US" w:eastAsia="zh-CN"/>
        </w:rPr>
        <w:t>21</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42</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（二）地块位置：惠州市惠城区水口青塘湖片区JD-111-10-01地块；</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（三）地块编号：JD-111-10-01；</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（四）地块范围：</w:t>
      </w:r>
      <w:r>
        <w:rPr>
          <w:rFonts w:hint="eastAsia" w:ascii="仿宋_GB2312" w:hAnsi="仿宋_GB2312" w:eastAsia="仿宋_GB2312" w:cs="仿宋_GB2312"/>
          <w:sz w:val="32"/>
          <w:szCs w:val="32"/>
          <w:highlight w:val="none"/>
          <w:shd w:val="clear" w:color="auto" w:fill="auto"/>
        </w:rPr>
        <w:t>平面界址点以宗地图为准，宗地竖向界限以《</w:t>
      </w:r>
      <w:r>
        <w:rPr>
          <w:rFonts w:hint="eastAsia" w:ascii="仿宋_GB2312" w:hAnsi="仿宋_GB2312" w:eastAsia="仿宋_GB2312" w:cs="仿宋_GB2312"/>
          <w:sz w:val="32"/>
          <w:szCs w:val="32"/>
          <w:highlight w:val="none"/>
          <w:shd w:val="clear" w:color="auto" w:fill="auto"/>
          <w:lang w:val="en-US" w:eastAsia="zh-CN"/>
        </w:rPr>
        <w:t>建设用地规划设计条件</w:t>
      </w:r>
      <w:r>
        <w:rPr>
          <w:rFonts w:hint="eastAsia" w:ascii="仿宋_GB2312" w:hAnsi="仿宋_GB2312" w:eastAsia="仿宋_GB2312" w:cs="仿宋_GB2312"/>
          <w:sz w:val="32"/>
          <w:szCs w:val="32"/>
          <w:highlight w:val="none"/>
          <w:shd w:val="clear" w:color="auto" w:fill="auto"/>
        </w:rPr>
        <w:t>》（PB202</w:t>
      </w:r>
      <w:r>
        <w:rPr>
          <w:rFonts w:hint="eastAsia" w:ascii="仿宋_GB2312" w:hAnsi="仿宋_GB2312" w:eastAsia="仿宋_GB2312" w:cs="仿宋_GB2312"/>
          <w:sz w:val="32"/>
          <w:szCs w:val="32"/>
          <w:highlight w:val="none"/>
          <w:shd w:val="clear" w:color="auto" w:fill="auto"/>
          <w:lang w:val="en-US" w:eastAsia="zh-CN"/>
        </w:rPr>
        <w:t>10066号</w:t>
      </w:r>
      <w:r>
        <w:rPr>
          <w:rFonts w:hint="eastAsia" w:ascii="仿宋_GB2312" w:hAnsi="仿宋_GB2312" w:eastAsia="仿宋_GB2312" w:cs="仿宋_GB2312"/>
          <w:sz w:val="32"/>
          <w:szCs w:val="32"/>
          <w:highlight w:val="none"/>
          <w:shd w:val="clear" w:color="auto" w:fill="auto"/>
        </w:rPr>
        <w:t>）规定为准。</w:t>
      </w:r>
      <w:r>
        <w:rPr>
          <w:rFonts w:hint="eastAsia" w:ascii="仿宋_GB2312" w:hAnsi="仿宋_GB2312" w:eastAsia="仿宋_GB2312" w:cs="仿宋_GB2312"/>
          <w:sz w:val="32"/>
          <w:szCs w:val="32"/>
          <w:highlight w:val="none"/>
          <w:shd w:val="clear" w:color="auto" w:fill="auto"/>
          <w:lang w:val="en-US"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（五）宗地使用权面积为：2210.29平方米；</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（六）计算指标用地面积为：3481平方米；</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（七）计容积率建筑面积：5570-8702平方米；</w:t>
      </w:r>
    </w:p>
    <w:p>
      <w:pPr>
        <w:shd w:val="clear"/>
        <w:tabs>
          <w:tab w:val="left" w:pos="3388"/>
        </w:tabs>
        <w:spacing w:line="560" w:lineRule="exact"/>
        <w:ind w:firstLine="640" w:firstLineChars="200"/>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（八）容积率为：1.6-2.5%；</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（九）土地用途为：一类工业用地；</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（十）土地使用权出让年限为：50年；</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（十一）产业类型：化妆品制造用地；</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（十二） 动工及竣工时间：</w:t>
      </w:r>
      <w:r>
        <w:rPr>
          <w:rFonts w:hint="eastAsia" w:ascii="仿宋_GB2312" w:hAnsi="宋体" w:eastAsia="仿宋_GB2312" w:cs="宋体"/>
          <w:color w:val="auto"/>
          <w:kern w:val="0"/>
          <w:sz w:val="32"/>
          <w:szCs w:val="32"/>
        </w:rPr>
        <w:t>该地块动工时间为地块交付之日起一年内，竣工时间为土地交付之日起三年内（因不可抗拒因素除外）</w:t>
      </w:r>
      <w:r>
        <w:rPr>
          <w:rFonts w:hint="eastAsia" w:ascii="仿宋_GB2312" w:hAnsi="仿宋_GB2312" w:eastAsia="仿宋_GB2312" w:cs="仿宋_GB2312"/>
          <w:sz w:val="32"/>
          <w:szCs w:val="32"/>
          <w:highlight w:val="none"/>
          <w:shd w:val="clear" w:color="auto" w:fill="auto"/>
          <w:lang w:val="en-US" w:eastAsia="zh-CN"/>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（十三）本地块交付时间为《国有土地使用权出让合同》签订之日。 </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四、土地开发及使用规定</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eastAsia="仿宋_GB2312"/>
          <w:sz w:val="32"/>
          <w:szCs w:val="32"/>
          <w:highlight w:val="none"/>
          <w:shd w:val="clear" w:color="auto" w:fill="auto"/>
        </w:rPr>
        <w:t>（一）</w:t>
      </w:r>
      <w:r>
        <w:rPr>
          <w:rFonts w:hint="eastAsia" w:ascii="仿宋_GB2312" w:hAnsi="仿宋_GB2312" w:eastAsia="仿宋_GB2312" w:cs="仿宋_GB2312"/>
          <w:sz w:val="32"/>
          <w:szCs w:val="32"/>
          <w:highlight w:val="none"/>
          <w:shd w:val="clear" w:color="auto" w:fill="auto"/>
          <w:lang w:eastAsia="zh-CN"/>
        </w:rPr>
        <w:t>开发投资总额不少于人民币</w:t>
      </w:r>
      <w:r>
        <w:rPr>
          <w:rFonts w:hint="eastAsia" w:ascii="仿宋_GB2312" w:hAnsi="仿宋_GB2312" w:eastAsia="仿宋_GB2312" w:cs="仿宋_GB2312"/>
          <w:sz w:val="32"/>
          <w:szCs w:val="32"/>
          <w:highlight w:val="none"/>
          <w:shd w:val="clear" w:color="auto" w:fill="auto"/>
          <w:lang w:val="en-US" w:eastAsia="zh-CN"/>
        </w:rPr>
        <w:t>4973万元</w:t>
      </w:r>
      <w:r>
        <w:rPr>
          <w:rFonts w:hint="eastAsia" w:ascii="仿宋_GB2312" w:hAnsi="仿宋_GB2312" w:eastAsia="仿宋_GB2312" w:cs="仿宋_GB2312"/>
          <w:sz w:val="32"/>
          <w:szCs w:val="32"/>
          <w:highlight w:val="none"/>
          <w:shd w:val="clear" w:color="auto" w:fill="auto"/>
          <w:lang w:eastAsia="zh-CN"/>
        </w:rPr>
        <w:t>（含地价）。</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eastAsia="仿宋_GB2312"/>
          <w:sz w:val="32"/>
          <w:szCs w:val="32"/>
          <w:highlight w:val="none"/>
          <w:shd w:val="clear" w:color="auto" w:fill="auto"/>
        </w:rPr>
        <w:t>（二）</w:t>
      </w:r>
      <w:r>
        <w:rPr>
          <w:rFonts w:hint="eastAsia" w:ascii="仿宋_GB2312" w:hAnsi="仿宋_GB2312" w:eastAsia="仿宋_GB2312" w:cs="仿宋_GB2312"/>
          <w:sz w:val="32"/>
          <w:szCs w:val="32"/>
          <w:highlight w:val="none"/>
          <w:shd w:val="clear" w:color="auto" w:fill="auto"/>
          <w:lang w:eastAsia="zh-CN"/>
        </w:rPr>
        <w:t>土地成交价款须以人民币支付,竞得人在签订《出让合同》之日起30日内付清全部成交价款。</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eastAsia="zh-CN"/>
        </w:rPr>
        <w:t>（三）</w:t>
      </w:r>
      <w:r>
        <w:rPr>
          <w:rFonts w:hint="eastAsia" w:ascii="仿宋_GB2312" w:hAnsi="仿宋_GB2312" w:eastAsia="仿宋_GB2312" w:cs="仿宋_GB2312"/>
          <w:kern w:val="2"/>
          <w:sz w:val="32"/>
          <w:szCs w:val="32"/>
          <w:lang w:val="en-US" w:eastAsia="zh-CN" w:bidi="ar-SA"/>
        </w:rPr>
        <w:t>竞得人在用地红线内开发建设必须符合城市规划要求，必须按《</w:t>
      </w:r>
      <w:r>
        <w:rPr>
          <w:rFonts w:hint="eastAsia" w:ascii="仿宋_GB2312" w:hAnsi="仿宋_GB2312" w:eastAsia="仿宋_GB2312" w:cs="仿宋_GB2312"/>
          <w:sz w:val="32"/>
          <w:szCs w:val="32"/>
          <w:lang w:val="en-US" w:eastAsia="zh-CN"/>
        </w:rPr>
        <w:t>建设用地规划设计条件</w:t>
      </w:r>
      <w:r>
        <w:rPr>
          <w:rFonts w:hint="eastAsia" w:ascii="仿宋_GB2312" w:hAnsi="仿宋_GB2312" w:eastAsia="仿宋_GB2312" w:cs="仿宋_GB2312"/>
          <w:kern w:val="2"/>
          <w:sz w:val="32"/>
          <w:szCs w:val="32"/>
          <w:lang w:val="en-US" w:eastAsia="zh-CN" w:bidi="ar-SA"/>
        </w:rPr>
        <w:t>》（案卷编号：</w:t>
      </w:r>
      <w:r>
        <w:rPr>
          <w:rFonts w:hint="eastAsia" w:ascii="仿宋_GB2312" w:hAnsi="仿宋_GB2312" w:eastAsia="仿宋_GB2312" w:cs="仿宋_GB2312"/>
          <w:sz w:val="32"/>
          <w:szCs w:val="32"/>
        </w:rPr>
        <w:t>PB202</w:t>
      </w:r>
      <w:r>
        <w:rPr>
          <w:rFonts w:hint="eastAsia" w:ascii="仿宋_GB2312" w:hAnsi="仿宋_GB2312" w:eastAsia="仿宋_GB2312" w:cs="仿宋_GB2312"/>
          <w:sz w:val="32"/>
          <w:szCs w:val="32"/>
          <w:lang w:val="en-US" w:eastAsia="zh-CN"/>
        </w:rPr>
        <w:t>10066</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规划控制指标要求及有关规定进行规划设计</w:t>
      </w:r>
      <w:r>
        <w:rPr>
          <w:rFonts w:hint="eastAsia" w:ascii="仿宋_GB2312" w:hAnsi="仿宋_GB2312" w:eastAsia="仿宋_GB2312" w:cs="仿宋_GB2312"/>
          <w:sz w:val="32"/>
          <w:szCs w:val="32"/>
          <w:highlight w:val="none"/>
          <w:shd w:val="clear" w:color="auto" w:fill="auto"/>
          <w:lang w:eastAsia="zh-CN"/>
        </w:rPr>
        <w:t>。</w:t>
      </w:r>
    </w:p>
    <w:p>
      <w:pPr>
        <w:pStyle w:val="2"/>
        <w:keepNext w:val="0"/>
        <w:keepLines w:val="0"/>
        <w:pageBreakBefore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（四）招商条件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投资强度不低于14285元/平方米，土地产出率（营业收入）不低于18571元/平方米/年，税收产出不低于1000元/平方米/年。其中，土地产出率及税收产出，在项目投产后3年内逐年考核，3年内的平均值不得低于上述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水口街道办事处提交项目投资计划书和时间安排表，并按月向惠州市惠城区水口街道办事处书面报告项目进展情况，直至项目投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宋体" w:eastAsia="仿宋_GB2312" w:cs="宋体"/>
          <w:color w:val="auto"/>
          <w:kern w:val="0"/>
          <w:sz w:val="32"/>
          <w:szCs w:val="32"/>
          <w:lang w:val="en-US" w:eastAsia="zh-CN" w:bidi="ar-SA"/>
        </w:rPr>
        <w:t>竞得人需与惠州市惠城区人民政府水口街道办事处签订《项目实施监管协议书》并完成监管协议公证手续。</w:t>
      </w:r>
    </w:p>
    <w:p>
      <w:pPr>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kern w:val="2"/>
          <w:sz w:val="32"/>
          <w:szCs w:val="32"/>
          <w:highlight w:val="none"/>
          <w:shd w:val="clear" w:color="auto" w:fill="auto"/>
          <w:lang w:val="en-US" w:eastAsia="zh-CN" w:bidi="ar-SA"/>
        </w:rPr>
        <w:t>（五）</w:t>
      </w:r>
      <w:r>
        <w:rPr>
          <w:rFonts w:hint="eastAsia" w:ascii="仿宋_GB2312" w:hAnsi="宋体" w:eastAsia="仿宋_GB2312" w:cs="宋体"/>
          <w:color w:val="auto"/>
          <w:kern w:val="0"/>
          <w:sz w:val="32"/>
          <w:szCs w:val="32"/>
        </w:rPr>
        <w:t>竞得人在签订《成交确认书》前，须与</w:t>
      </w:r>
      <w:r>
        <w:rPr>
          <w:rFonts w:hint="eastAsia" w:ascii="仿宋_GB2312" w:hAnsi="仿宋_GB2312" w:eastAsia="仿宋_GB2312"/>
          <w:sz w:val="32"/>
        </w:rPr>
        <w:t>惠州市惠城区</w:t>
      </w:r>
      <w:r>
        <w:rPr>
          <w:rFonts w:hint="eastAsia" w:ascii="仿宋_GB2312" w:hAnsi="仿宋_GB2312" w:eastAsia="仿宋_GB2312"/>
          <w:sz w:val="32"/>
          <w:lang w:val="en-US" w:eastAsia="zh-CN"/>
        </w:rPr>
        <w:t>人民政府</w:t>
      </w:r>
      <w:r>
        <w:rPr>
          <w:rFonts w:hint="eastAsia" w:ascii="仿宋_GB2312" w:hAnsi="仿宋_GB2312" w:eastAsia="仿宋_GB2312"/>
          <w:sz w:val="32"/>
        </w:rPr>
        <w:t>水口街道办事处</w:t>
      </w:r>
      <w:r>
        <w:rPr>
          <w:rFonts w:hint="eastAsia" w:ascii="仿宋_GB2312" w:hAnsi="宋体" w:eastAsia="仿宋_GB2312" w:cs="宋体"/>
          <w:color w:val="auto"/>
          <w:kern w:val="0"/>
          <w:sz w:val="32"/>
          <w:szCs w:val="32"/>
        </w:rPr>
        <w:t>签订《项目</w:t>
      </w:r>
      <w:r>
        <w:rPr>
          <w:rFonts w:hint="eastAsia" w:ascii="仿宋_GB2312" w:hAnsi="宋体" w:eastAsia="仿宋_GB2312" w:cs="宋体"/>
          <w:color w:val="auto"/>
          <w:kern w:val="0"/>
          <w:sz w:val="32"/>
          <w:szCs w:val="32"/>
          <w:lang w:val="en-US" w:eastAsia="zh-CN"/>
        </w:rPr>
        <w:t>实施</w:t>
      </w:r>
      <w:r>
        <w:rPr>
          <w:rFonts w:hint="eastAsia" w:ascii="仿宋_GB2312" w:hAnsi="宋体" w:eastAsia="仿宋_GB2312" w:cs="宋体"/>
          <w:color w:val="auto"/>
          <w:kern w:val="0"/>
          <w:sz w:val="32"/>
          <w:szCs w:val="32"/>
        </w:rPr>
        <w:t>监管协议书》，并由</w:t>
      </w:r>
      <w:r>
        <w:rPr>
          <w:rFonts w:hint="eastAsia" w:ascii="仿宋_GB2312" w:hAnsi="仿宋_GB2312" w:eastAsia="仿宋_GB2312"/>
          <w:sz w:val="32"/>
        </w:rPr>
        <w:t>惠州市惠城区</w:t>
      </w:r>
      <w:r>
        <w:rPr>
          <w:rFonts w:hint="eastAsia" w:ascii="仿宋_GB2312" w:hAnsi="仿宋_GB2312" w:eastAsia="仿宋_GB2312"/>
          <w:sz w:val="32"/>
          <w:lang w:val="en-US" w:eastAsia="zh-CN"/>
        </w:rPr>
        <w:t>人民政府</w:t>
      </w:r>
      <w:r>
        <w:rPr>
          <w:rFonts w:hint="eastAsia" w:ascii="仿宋_GB2312" w:hAnsi="仿宋_GB2312" w:eastAsia="仿宋_GB2312"/>
          <w:sz w:val="32"/>
        </w:rPr>
        <w:t>水口街道办事处</w:t>
      </w:r>
      <w:r>
        <w:rPr>
          <w:rFonts w:hint="eastAsia" w:ascii="仿宋_GB2312" w:hAnsi="宋体" w:eastAsia="仿宋_GB2312" w:cs="宋体"/>
          <w:color w:val="auto"/>
          <w:kern w:val="0"/>
          <w:sz w:val="32"/>
          <w:szCs w:val="32"/>
        </w:rPr>
        <w:t>对项目用地实施批后监管</w:t>
      </w:r>
      <w:r>
        <w:rPr>
          <w:rFonts w:hint="eastAsia" w:ascii="仿宋_GB2312" w:hAnsi="宋体" w:eastAsia="仿宋_GB2312" w:cs="宋体"/>
          <w:color w:val="auto"/>
          <w:kern w:val="0"/>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b/>
          <w:bCs/>
          <w:kern w:val="2"/>
          <w:sz w:val="32"/>
          <w:szCs w:val="32"/>
          <w:highlight w:val="none"/>
          <w:shd w:val="clear" w:color="auto" w:fill="auto"/>
          <w:lang w:val="en-US" w:eastAsia="zh-CN" w:bidi="ar-SA"/>
        </w:rPr>
        <w:t>五、竞买资格及要求</w:t>
      </w:r>
    </w:p>
    <w:p>
      <w:pPr>
        <w:shd w:val="clear"/>
        <w:tabs>
          <w:tab w:val="left" w:pos="3388"/>
        </w:tabs>
        <w:spacing w:line="560" w:lineRule="exact"/>
        <w:ind w:firstLine="640" w:firstLineChars="200"/>
        <w:jc w:val="left"/>
        <w:rPr>
          <w:rFonts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中华人民共和国境内外的法人和其他组织（除法律法规另有规定外），均可申请参加竞买。申请人可以单独申请，也可以联合申请。申请人还应具备下列条件：</w:t>
      </w:r>
    </w:p>
    <w:p>
      <w:pPr>
        <w:numPr>
          <w:ilvl w:val="0"/>
          <w:numId w:val="0"/>
        </w:numPr>
        <w:shd w:val="clear"/>
        <w:tabs>
          <w:tab w:val="left" w:pos="3388"/>
        </w:tabs>
        <w:spacing w:line="560" w:lineRule="exact"/>
        <w:ind w:firstLine="640" w:firstLineChars="200"/>
        <w:jc w:val="left"/>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lang w:val="en-US" w:eastAsia="zh-CN"/>
        </w:rPr>
        <w:t>一</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按时足额交纳竞买保证金</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竞买人缴交的竞买保证金为人民币</w:t>
      </w:r>
      <w:r>
        <w:rPr>
          <w:rFonts w:hint="eastAsia" w:ascii="仿宋_GB2312" w:hAnsi="仿宋_GB2312" w:eastAsia="仿宋_GB2312" w:cs="仿宋_GB2312"/>
          <w:kern w:val="0"/>
          <w:sz w:val="32"/>
          <w:szCs w:val="32"/>
          <w:highlight w:val="none"/>
          <w:shd w:val="clear" w:color="auto" w:fill="auto"/>
          <w:lang w:val="en-US" w:eastAsia="zh-CN"/>
        </w:rPr>
        <w:t>114</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kern w:val="0"/>
          <w:sz w:val="32"/>
          <w:szCs w:val="32"/>
          <w:highlight w:val="none"/>
          <w:shd w:val="clear" w:color="auto" w:fill="auto"/>
        </w:rPr>
        <w:t>。</w:t>
      </w:r>
    </w:p>
    <w:p>
      <w:pPr>
        <w:pStyle w:val="2"/>
        <w:numPr>
          <w:ilvl w:val="0"/>
          <w:numId w:val="0"/>
        </w:numPr>
        <w:ind w:firstLine="640" w:firstLineChars="200"/>
      </w:pPr>
      <w:r>
        <w:rPr>
          <w:rFonts w:hint="eastAsia" w:ascii="仿宋_GB2312" w:hAnsi="仿宋_GB2312" w:eastAsia="仿宋_GB2312" w:cs="仿宋_GB2312"/>
          <w:kern w:val="0"/>
          <w:sz w:val="32"/>
          <w:szCs w:val="32"/>
          <w:highlight w:val="none"/>
          <w:shd w:val="clear" w:color="auto" w:fill="auto"/>
          <w:lang w:val="en-US" w:eastAsia="zh-CN"/>
        </w:rPr>
        <w:t>（二）竞买人须提交惠城区发改局出具的与该宗地块产业类型一致的优先发展产业项目文件。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 xml:space="preserve">   </w:t>
      </w:r>
      <w:r>
        <w:rPr>
          <w:rFonts w:hint="eastAsia" w:ascii="仿宋_GB2312" w:hAnsi="仿宋_GB2312" w:eastAsia="仿宋_GB2312" w:cs="仿宋_GB2312"/>
          <w:kern w:val="0"/>
          <w:sz w:val="32"/>
          <w:szCs w:val="32"/>
          <w:highlight w:val="none"/>
          <w:shd w:val="clear" w:color="auto" w:fill="auto"/>
          <w:lang w:val="en-US" w:eastAsia="zh-CN"/>
        </w:rPr>
        <w:t xml:space="preserve"> </w:t>
      </w:r>
      <w:r>
        <w:rPr>
          <w:rFonts w:hint="eastAsia" w:ascii="仿宋_GB2312" w:hAnsi="仿宋_GB2312" w:eastAsia="仿宋_GB2312" w:cs="仿宋_GB2312"/>
          <w:kern w:val="0"/>
          <w:sz w:val="32"/>
          <w:szCs w:val="32"/>
          <w:highlight w:val="none"/>
          <w:shd w:val="clear" w:color="auto" w:fill="auto"/>
        </w:rPr>
        <w:t>（</w:t>
      </w:r>
      <w:r>
        <w:rPr>
          <w:rFonts w:hint="eastAsia" w:ascii="仿宋_GB2312" w:hAnsi="仿宋_GB2312" w:eastAsia="仿宋_GB2312" w:cs="仿宋_GB2312"/>
          <w:kern w:val="0"/>
          <w:sz w:val="32"/>
          <w:szCs w:val="32"/>
          <w:highlight w:val="none"/>
          <w:shd w:val="clear" w:color="auto" w:fill="auto"/>
          <w:lang w:val="en-US" w:eastAsia="zh-CN"/>
        </w:rPr>
        <w:t>三</w:t>
      </w:r>
      <w:r>
        <w:rPr>
          <w:rFonts w:hint="eastAsia" w:ascii="仿宋_GB2312" w:hAnsi="仿宋_GB2312" w:eastAsia="仿宋_GB2312" w:cs="仿宋_GB2312"/>
          <w:kern w:val="0"/>
          <w:sz w:val="32"/>
          <w:szCs w:val="32"/>
          <w:highlight w:val="none"/>
          <w:shd w:val="clear" w:color="auto" w:fill="auto"/>
        </w:rPr>
        <w:t>）预先办理数字证书。本次国有建设用地使用权网</w:t>
      </w:r>
      <w:r>
        <w:rPr>
          <w:rFonts w:hint="eastAsia" w:ascii="仿宋_GB2312" w:hAnsi="仿宋_GB2312" w:eastAsia="仿宋_GB2312" w:cs="仿宋_GB2312"/>
          <w:sz w:val="32"/>
          <w:szCs w:val="32"/>
          <w:highlight w:val="none"/>
          <w:shd w:val="clear" w:color="auto" w:fill="auto"/>
        </w:rPr>
        <w:t>上挂牌出让只能在互联网上，通过惠州市公共资源交易中心土地与矿业网上挂牌交易系统（</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，以下简称“网上挂牌交易系统”）进行。只有通过网上注册、办理数字证书、按要求足额交付竞买保证金的申请人，才能参加网上挂牌交易活动。</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int="eastAsia" w:ascii="仿宋_GB2312" w:hAnsi="仿宋_GB2312" w:eastAsia="仿宋_GB2312" w:cs="仿宋_GB2312"/>
          <w:sz w:val="32"/>
          <w:szCs w:val="32"/>
          <w:highlight w:val="none"/>
          <w:shd w:val="clear" w:color="auto" w:fill="auto"/>
        </w:rPr>
        <w:t>（</w:t>
      </w:r>
      <w:r>
        <w:rPr>
          <w:rFonts w:hint="eastAsia" w:hAnsi="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w:t>
      </w:r>
      <w:r>
        <w:rPr>
          <w:rFonts w:hint="eastAsia" w:hAnsi="仿宋_GB2312" w:cs="仿宋_GB2312"/>
          <w:szCs w:val="32"/>
        </w:rPr>
        <w:t>存在下列违法违规违约行为之一的企业及其控股股东，不得参与竞买上述地块：</w:t>
      </w:r>
    </w:p>
    <w:p>
      <w:pPr>
        <w:pStyle w:val="3"/>
        <w:keepNext w:val="0"/>
        <w:keepLines w:val="0"/>
        <w:pageBreakBefore w:val="0"/>
        <w:widowControl w:val="0"/>
        <w:kinsoku/>
        <w:wordWrap/>
        <w:overflowPunct/>
        <w:topLinePunct w:val="0"/>
        <w:autoSpaceDE/>
        <w:autoSpaceDN/>
        <w:bidi w:val="0"/>
        <w:spacing w:before="0" w:line="560" w:lineRule="exact"/>
        <w:ind w:left="0" w:leftChars="0" w:firstLine="640" w:firstLineChars="200"/>
        <w:jc w:val="both"/>
        <w:textAlignment w:val="auto"/>
        <w:rPr>
          <w:rFonts w:hint="eastAsia" w:hAnsi="仿宋_GB2312" w:cs="仿宋_GB2312"/>
          <w:szCs w:val="32"/>
          <w:lang w:val="en-US" w:eastAsia="zh-CN"/>
        </w:rPr>
      </w:pPr>
      <w:r>
        <w:rPr>
          <w:rFonts w:hint="eastAsia" w:hAnsi="仿宋_GB2312" w:cs="仿宋_GB2312"/>
          <w:szCs w:val="32"/>
          <w:lang w:val="en-US" w:eastAsia="zh-CN"/>
        </w:rPr>
        <w:t>1、存在伪造公文骗取用地和非法倒卖土地等犯罪行为的；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2、存在非法转让土地使用权等违法行为的；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3、因企业原因造成土地闲置一年以上且至报名日止未处罚完结的；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4、开发建设企业有违背出让合同约定条件开发利用土地情形且至报名日止未处罚完结的；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ascii="仿宋_GB2312" w:hAnsi="宋体" w:eastAsia="仿宋_GB2312" w:cs="宋体"/>
          <w:color w:val="auto"/>
          <w:kern w:val="0"/>
          <w:sz w:val="32"/>
          <w:szCs w:val="32"/>
          <w:highlight w:val="none"/>
          <w:shd w:val="clear" w:color="auto" w:fill="auto"/>
          <w:lang w:val="en-US" w:eastAsia="zh-CN" w:bidi="ar-SA"/>
        </w:rPr>
      </w:pPr>
      <w:r>
        <w:rPr>
          <w:rFonts w:hint="eastAsia" w:hAnsi="仿宋_GB2312" w:cs="仿宋_GB2312"/>
          <w:szCs w:val="32"/>
          <w:lang w:val="en-US" w:eastAsia="zh-CN"/>
        </w:rPr>
        <w:t> 5、至报名日止仍拖欠政府地价款的。</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六、违约及处理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竞得人有下列行为之一的，视为违约，取消竞得人资格，</w:t>
      </w:r>
      <w:r>
        <w:rPr>
          <w:rFonts w:hint="eastAsia" w:ascii="仿宋_GB2312" w:hAnsi="仿宋_GB2312" w:eastAsia="仿宋_GB2312" w:cs="仿宋_GB2312"/>
          <w:sz w:val="32"/>
          <w:szCs w:val="32"/>
          <w:highlight w:val="none"/>
          <w:shd w:val="clear" w:color="auto" w:fill="auto"/>
          <w:lang w:val="en-US" w:eastAsia="zh-CN"/>
        </w:rPr>
        <w:t>定金不予退还,</w:t>
      </w:r>
      <w:r>
        <w:rPr>
          <w:rFonts w:hint="eastAsia" w:ascii="仿宋_GB2312" w:hAnsi="仿宋_GB2312" w:eastAsia="仿宋_GB2312" w:cs="仿宋_GB2312"/>
          <w:sz w:val="32"/>
          <w:szCs w:val="32"/>
          <w:highlight w:val="none"/>
          <w:shd w:val="clear" w:color="auto" w:fill="auto"/>
        </w:rPr>
        <w:t>并由有关部门依法处理;造成损失的，竞得人还应依法承担赔偿责任：</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（一）不符合竞买资格条件的。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（二）采取行贿、恶意串通等非法手段竞得的。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（三）竞得人以其他非法手段竞得的。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（四）竞得人逾期或拒绝签订《成交确认书》的。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（五）竞得人逾期或拒绝签订《出让合同》的。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（六）不按本须知规定提供有关纸质文件材料，或提供虚假文件材料、隐瞒重要事实，引起交易纠纷的。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（七）构成违约责任的其他行为。</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七、网上挂牌出让地块的起始价、增加幅度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挂牌起始价为人民币</w:t>
      </w:r>
      <w:r>
        <w:rPr>
          <w:rFonts w:hint="eastAsia" w:ascii="仿宋_GB2312" w:hAnsi="仿宋_GB2312" w:eastAsia="仿宋_GB2312" w:cs="仿宋_GB2312"/>
          <w:color w:val="auto"/>
          <w:sz w:val="32"/>
          <w:szCs w:val="32"/>
          <w:highlight w:val="none"/>
          <w:u w:val="single"/>
          <w:shd w:val="clear" w:color="auto" w:fill="auto"/>
          <w:lang w:val="en-US" w:eastAsia="zh-CN"/>
        </w:rPr>
        <w:t>叁佰捌拾万元整</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380</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）,增价幅度为人民币</w:t>
      </w:r>
      <w:r>
        <w:rPr>
          <w:rFonts w:hint="eastAsia" w:ascii="仿宋_GB2312" w:hAnsi="仿宋_GB2312" w:eastAsia="仿宋_GB2312" w:cs="仿宋_GB2312"/>
          <w:color w:val="auto"/>
          <w:sz w:val="32"/>
          <w:szCs w:val="32"/>
          <w:highlight w:val="none"/>
          <w:u w:val="single"/>
          <w:shd w:val="clear" w:color="auto" w:fill="auto"/>
          <w:lang w:val="en-US" w:eastAsia="zh-CN"/>
        </w:rPr>
        <w:t>伍拾</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5</w:t>
      </w:r>
      <w:r>
        <w:rPr>
          <w:rFonts w:hint="eastAsia" w:ascii="仿宋_GB2312" w:hAnsi="仿宋_GB2312" w:eastAsia="仿宋_GB2312" w:cs="仿宋_GB2312"/>
          <w:color w:val="auto"/>
          <w:sz w:val="32"/>
          <w:szCs w:val="32"/>
          <w:highlight w:val="none"/>
          <w:u w:val="single"/>
          <w:shd w:val="clear" w:color="auto" w:fill="auto"/>
        </w:rPr>
        <w:t>0</w:t>
      </w:r>
      <w:r>
        <w:rPr>
          <w:rFonts w:hint="eastAsia" w:ascii="仿宋_GB2312" w:hAnsi="仿宋_GB2312" w:eastAsia="仿宋_GB2312" w:cs="仿宋_GB2312"/>
          <w:color w:val="auto"/>
          <w:sz w:val="32"/>
          <w:szCs w:val="32"/>
          <w:highlight w:val="none"/>
          <w:shd w:val="clear" w:color="auto" w:fill="auto"/>
        </w:rPr>
        <w:t>万元）。</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3" w:name="104"/>
      <w:r>
        <w:rPr>
          <w:rFonts w:hint="eastAsia" w:ascii="仿宋_GB2312" w:hAnsi="仿宋_GB2312" w:eastAsia="仿宋_GB2312" w:cs="仿宋_GB2312"/>
          <w:b/>
          <w:bCs/>
          <w:sz w:val="32"/>
          <w:szCs w:val="32"/>
          <w:highlight w:val="none"/>
          <w:shd w:val="clear" w:color="auto" w:fill="auto"/>
        </w:rPr>
        <w:t>八、</w:t>
      </w:r>
      <w:bookmarkEnd w:id="3"/>
      <w:r>
        <w:rPr>
          <w:rFonts w:hint="eastAsia" w:ascii="仿宋_GB2312" w:hAnsi="仿宋_GB2312" w:eastAsia="仿宋_GB2312" w:cs="仿宋_GB2312"/>
          <w:b/>
          <w:bCs/>
          <w:sz w:val="32"/>
          <w:szCs w:val="32"/>
          <w:highlight w:val="none"/>
          <w:shd w:val="clear" w:color="auto" w:fill="auto"/>
        </w:rPr>
        <w:t>本次网上挂牌出让活动有关时间</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网上挂牌时间为10个工作日，不包括法定节假日。具体如下：</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（一）网上挂牌起始时间：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11</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16</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（二）网上挂牌截止时间：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11</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30</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10时。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（三）网上挂牌交纳保证金截止时间：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11</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30</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（四）网上挂牌报价时间：网上挂牌起止时间内。</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九、挂牌文件获取</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申请人可在网上挂牌交易系统浏览或下载本次网上挂牌出让文件，具体包括：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惠州市国有建设用地使用权网上挂牌出让公告；</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2、惠州市国有建设用地使用权网上挂牌出让须知；</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挂牌出让地块现状图；</w:t>
      </w:r>
    </w:p>
    <w:p>
      <w:pPr>
        <w:shd w:val="clear"/>
        <w:tabs>
          <w:tab w:val="left" w:pos="3388"/>
        </w:tabs>
        <w:spacing w:line="560" w:lineRule="exact"/>
        <w:ind w:firstLine="640"/>
        <w:jc w:val="left"/>
        <w:rPr>
          <w:rFonts w:hint="default"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4、红线图；</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建设用地规划设计条件</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PB20210066号</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惠州市</w:t>
      </w:r>
      <w:r>
        <w:rPr>
          <w:rFonts w:hint="eastAsia" w:ascii="仿宋_GB2312" w:hAnsi="仿宋_GB2312" w:eastAsia="仿宋_GB2312" w:cs="仿宋_GB2312"/>
          <w:sz w:val="32"/>
          <w:szCs w:val="32"/>
          <w:highlight w:val="none"/>
          <w:shd w:val="clear" w:color="auto" w:fill="auto"/>
          <w:lang w:val="en-US" w:eastAsia="zh-CN"/>
        </w:rPr>
        <w:t>国有建设用地使用权电子挂牌</w:t>
      </w:r>
      <w:r>
        <w:rPr>
          <w:rFonts w:hint="eastAsia" w:ascii="仿宋_GB2312" w:hAnsi="仿宋_GB2312" w:eastAsia="仿宋_GB2312" w:cs="仿宋_GB2312"/>
          <w:sz w:val="32"/>
          <w:szCs w:val="32"/>
          <w:highlight w:val="none"/>
          <w:shd w:val="clear" w:color="auto" w:fill="auto"/>
        </w:rPr>
        <w:t>交易成交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（以下简称“成交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书”）样本；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《国有建设用地使用权出让合同》（以下简称“出让合同”）样本；</w:t>
      </w:r>
    </w:p>
    <w:p>
      <w:pPr>
        <w:pStyle w:val="2"/>
        <w:shd w:val="clear"/>
        <w:rPr>
          <w:rFonts w:hint="default"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val="en-US" w:eastAsia="zh-CN"/>
        </w:rPr>
        <w:t xml:space="preserve"> 8、</w:t>
      </w:r>
      <w:r>
        <w:rPr>
          <w:rFonts w:hint="eastAsia" w:ascii="仿宋_GB2312" w:hAnsi="仿宋_GB2312" w:eastAsia="仿宋_GB2312" w:cs="仿宋_GB2312"/>
          <w:kern w:val="2"/>
          <w:sz w:val="32"/>
          <w:szCs w:val="32"/>
          <w:highlight w:val="none"/>
          <w:shd w:val="clear" w:color="auto" w:fill="auto"/>
          <w:lang w:val="en-US" w:eastAsia="zh-CN" w:bidi="ar-SA"/>
        </w:rPr>
        <w:t>《项目实施监管协议书》</w:t>
      </w:r>
    </w:p>
    <w:p>
      <w:pPr>
        <w:shd w:val="clear"/>
        <w:tabs>
          <w:tab w:val="left" w:pos="3388"/>
        </w:tabs>
        <w:spacing w:line="560" w:lineRule="exact"/>
        <w:ind w:left="0" w:leftChars="0"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9、其他相关文件</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十、办理数字证书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办理数字证书是参加本宗地网上挂牌出让活动的必经程序，申请人应当携带相关有效证件到广东省数字证书认证中心惠州办理点（地址：广东省惠州市</w:t>
      </w:r>
      <w:r>
        <w:rPr>
          <w:rFonts w:hint="eastAsia" w:ascii="仿宋_GB2312" w:hAnsi="仿宋_GB2312" w:eastAsia="仿宋_GB2312" w:cs="仿宋_GB2312"/>
          <w:sz w:val="32"/>
          <w:szCs w:val="32"/>
          <w:highlight w:val="none"/>
          <w:shd w:val="clear" w:color="auto" w:fill="auto"/>
          <w:lang w:val="en-US" w:eastAsia="zh-CN"/>
        </w:rPr>
        <w:t>惠城区三新北路31号市民服务中心3号楼惠州市公共资源交易中心一楼大厅1号土地与矿业交易窗口</w:t>
      </w:r>
      <w:r>
        <w:rPr>
          <w:rFonts w:hint="eastAsia" w:ascii="仿宋_GB2312" w:hAnsi="仿宋_GB2312" w:eastAsia="仿宋_GB2312" w:cs="仿宋_GB2312"/>
          <w:sz w:val="32"/>
          <w:szCs w:val="32"/>
          <w:highlight w:val="none"/>
          <w:shd w:val="clear" w:color="auto" w:fill="auto"/>
        </w:rPr>
        <w:t>，电话：0752-</w:t>
      </w:r>
      <w:r>
        <w:rPr>
          <w:rFonts w:hint="eastAsia" w:ascii="仿宋_GB2312" w:hAnsi="仿宋_GB2312" w:eastAsia="仿宋_GB2312" w:cs="仿宋_GB2312"/>
          <w:sz w:val="32"/>
          <w:szCs w:val="32"/>
          <w:highlight w:val="none"/>
          <w:shd w:val="clear" w:color="auto" w:fill="auto"/>
          <w:lang w:val="en-US" w:eastAsia="zh-CN"/>
        </w:rPr>
        <w:t>7121029</w:t>
      </w:r>
      <w:r>
        <w:rPr>
          <w:rFonts w:hint="eastAsia" w:ascii="仿宋_GB2312" w:hAnsi="仿宋_GB2312" w:eastAsia="仿宋_GB2312" w:cs="仿宋_GB2312"/>
          <w:sz w:val="32"/>
          <w:szCs w:val="32"/>
          <w:highlight w:val="none"/>
          <w:shd w:val="clear" w:color="auto" w:fill="auto"/>
        </w:rPr>
        <w:t>）申请办理。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数字证书的办理流程详见网上挂牌交易系统上的《数字证书办理指南》。</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十一、答疑及现场踏勘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申请人对网上挂牌出让文件有疑问的，可在网上挂牌活动开始前以书面或者口头方式向本中心咨询。有意竞买者可自行踏勘现场。（可在网上查阅位置图和现状图）。</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4" w:name="103"/>
      <w:bookmarkEnd w:id="4"/>
      <w:r>
        <w:rPr>
          <w:rFonts w:hint="eastAsia" w:ascii="仿宋_GB2312" w:hAnsi="仿宋_GB2312" w:eastAsia="仿宋_GB2312" w:cs="仿宋_GB2312"/>
          <w:b/>
          <w:bCs/>
          <w:sz w:val="32"/>
          <w:szCs w:val="32"/>
          <w:highlight w:val="none"/>
          <w:shd w:val="clear" w:color="auto" w:fill="auto"/>
        </w:rPr>
        <w:t xml:space="preserve"> 十二、竞买保证金</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（一）竞买保证金是申请人参加网上挂牌交易活动的资格条件。按规定将竞买保证金汇入指定账户，是参加网上挂牌交易活动的必经程序。</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（二）本宗地竞买保证金到账截止时间为</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11</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30</w:t>
      </w:r>
      <w:bookmarkStart w:id="8" w:name="_GoBack"/>
      <w:bookmarkEnd w:id="8"/>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9时整，竞买保证金为人民币</w:t>
      </w:r>
      <w:r>
        <w:rPr>
          <w:rFonts w:hint="eastAsia" w:ascii="仿宋_GB2312" w:hAnsi="仿宋_GB2312" w:eastAsia="仿宋_GB2312" w:cs="仿宋_GB2312"/>
          <w:color w:val="auto"/>
          <w:sz w:val="32"/>
          <w:szCs w:val="32"/>
          <w:highlight w:val="none"/>
          <w:u w:val="single"/>
          <w:shd w:val="clear" w:color="auto" w:fill="auto"/>
          <w:lang w:val="en-US" w:eastAsia="zh-CN"/>
        </w:rPr>
        <w:t>壹佰壹拾肆万元</w:t>
      </w:r>
      <w:r>
        <w:rPr>
          <w:rFonts w:hint="eastAsia" w:ascii="仿宋_GB2312" w:hAnsi="仿宋_GB2312" w:eastAsia="仿宋_GB2312" w:cs="仿宋_GB2312"/>
          <w:color w:val="auto"/>
          <w:sz w:val="32"/>
          <w:szCs w:val="32"/>
          <w:highlight w:val="none"/>
          <w:u w:val="single"/>
          <w:shd w:val="clear" w:color="auto" w:fill="auto"/>
        </w:rPr>
        <w:t>整</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114</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（三）竞买人应当提前交纳竞买保证金以确保在到账截止时间前到账，超过到账截止时间的保证金，网上挂牌交易系统将不予受理，造成的损失由竞买人自行承担。</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（四）跨地区或跨行转账的竞买人，需预足资金的在途时间，以免影响竞买人及时取得竞买资格。</w:t>
      </w:r>
    </w:p>
    <w:p>
      <w:pPr>
        <w:shd w:val="clear"/>
        <w:tabs>
          <w:tab w:val="left" w:pos="3388"/>
        </w:tabs>
        <w:spacing w:line="560" w:lineRule="exact"/>
        <w:ind w:firstLine="64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（五）竞买保证金到账时间以网上挂牌交易系统颁发《保证金到账通知书》为准。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（六）竞买保证金开户单位：惠州市公共资源交易中心</w:t>
      </w:r>
    </w:p>
    <w:p>
      <w:pPr>
        <w:shd w:val="clear"/>
        <w:tabs>
          <w:tab w:val="left" w:pos="3388"/>
        </w:tabs>
        <w:spacing w:line="560" w:lineRule="exact"/>
        <w:ind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rPr>
        <w:t>竞买保证金账号：网上挂牌交易系统随机产生子账号。</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开户银行：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中国建设银行惠州广场支行。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2、</w:t>
      </w:r>
      <w:r>
        <w:rPr>
          <w:rFonts w:hint="eastAsia" w:ascii="仿宋_GB2312" w:hAnsi="仿宋_GB2312" w:eastAsia="仿宋_GB2312" w:cs="仿宋_GB2312"/>
          <w:sz w:val="32"/>
          <w:szCs w:val="32"/>
          <w:highlight w:val="none"/>
          <w:shd w:val="clear" w:color="auto" w:fill="auto"/>
        </w:rPr>
        <w:t>中国银行惠州分行。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中国工商银行股份有限公司惠州富力国际中心支行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中国农业银行惠州分行。</w:t>
      </w:r>
    </w:p>
    <w:p>
      <w:pPr>
        <w:shd w:val="clear"/>
        <w:tabs>
          <w:tab w:val="left" w:pos="3388"/>
        </w:tabs>
        <w:spacing w:line="560" w:lineRule="exact"/>
        <w:ind w:firstLine="640" w:firstLineChars="200"/>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rPr>
        <w:t>广发银行惠州江北支行。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rPr>
        <w:t>交通银行惠州分行。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惠州市农村商业银行股份有限公司惠城支行。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上海浦东发展银行股份有限公司惠州分行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中国民生银行股份有限公司惠州分行。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10、中国光大银行股份有限公司惠州分行。</w:t>
      </w:r>
    </w:p>
    <w:p>
      <w:pPr>
        <w:shd w:val="clear"/>
        <w:tabs>
          <w:tab w:val="left" w:pos="3388"/>
        </w:tabs>
        <w:spacing w:line="560" w:lineRule="exact"/>
        <w:ind w:firstLine="640" w:firstLineChars="200"/>
        <w:jc w:val="left"/>
        <w:rPr>
          <w:rFonts w:hint="eastAsia"/>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11、</w:t>
      </w:r>
      <w:r>
        <w:rPr>
          <w:rFonts w:hint="eastAsia" w:ascii="仿宋_GB2312" w:hAnsi="仿宋_GB2312" w:eastAsia="仿宋_GB2312" w:cs="仿宋_GB2312"/>
          <w:sz w:val="32"/>
          <w:szCs w:val="32"/>
          <w:highlight w:val="none"/>
          <w:shd w:val="clear" w:color="auto" w:fill="auto"/>
        </w:rPr>
        <w:t>中信银行股份有限公司惠州分行。(备注:中信银行股份有限公司惠州分行本行</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须到银行柜面办理)。</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5" w:name="107"/>
      <w:r>
        <w:rPr>
          <w:rFonts w:hint="eastAsia" w:ascii="仿宋_GB2312" w:hAnsi="仿宋_GB2312" w:eastAsia="仿宋_GB2312" w:cs="仿宋_GB2312"/>
          <w:b/>
          <w:bCs/>
          <w:sz w:val="32"/>
          <w:szCs w:val="32"/>
          <w:highlight w:val="none"/>
          <w:shd w:val="clear" w:color="auto" w:fill="auto"/>
        </w:rPr>
        <w:t>十三、</w:t>
      </w:r>
      <w:bookmarkEnd w:id="5"/>
      <w:r>
        <w:rPr>
          <w:rFonts w:hint="eastAsia" w:ascii="仿宋_GB2312" w:hAnsi="仿宋_GB2312" w:eastAsia="仿宋_GB2312" w:cs="仿宋_GB2312"/>
          <w:b/>
          <w:bCs/>
          <w:sz w:val="32"/>
          <w:szCs w:val="32"/>
          <w:highlight w:val="none"/>
          <w:shd w:val="clear" w:color="auto" w:fill="auto"/>
        </w:rPr>
        <w:t>网上报价规则</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（一）本次网上挂牌以增价方式进行报价，每次加价幅度为本须知规定增价幅度的整数倍。</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（二）竞买人的首次报价不低于起始价，此后的竞买人报价须高于报价当时的最新网上挂牌价格，并以增价幅度的整数倍加价。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（三）竞买人通过网上挂牌交易提交的报价一经报出，不得撤回。</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（四）在报价期间，竞买人可多次报价。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（五）在报价期内，竞买人必须进行一次有效报价，才能参加网上限时竞价。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（六）竞买人报价有下列情形之一的，为无效报价：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1、报价未在网上挂牌期限内收到的。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2、报价因竞买人网络故障未在网上挂牌报价期限内收到的。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3、报价不符合报价规则的。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4、报价低于网上挂牌起始价的。</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5、报价不符合网上挂牌公告、须知及相关交易文件规定的其他情形。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十四、系统操作</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土地与矿业交易系统竞买人操作视频</w:t>
      </w:r>
      <w:r>
        <w:rPr>
          <w:rFonts w:hint="eastAsia" w:ascii="仿宋_GB2312" w:hAnsi="仿宋_GB2312" w:eastAsia="仿宋_GB2312" w:cs="仿宋_GB2312"/>
          <w:sz w:val="32"/>
          <w:szCs w:val="32"/>
          <w:highlight w:val="none"/>
          <w:shd w:val="clear" w:color="auto" w:fill="auto"/>
          <w:lang w:val="en-US" w:eastAsia="zh-CN"/>
        </w:rPr>
        <w:t>可在</w:t>
      </w:r>
      <w:r>
        <w:rPr>
          <w:rFonts w:hint="eastAsia" w:ascii="仿宋_GB2312" w:hAnsi="仿宋_GB2312" w:eastAsia="仿宋_GB2312" w:cs="仿宋_GB2312"/>
          <w:sz w:val="32"/>
          <w:szCs w:val="32"/>
          <w:highlight w:val="none"/>
          <w:shd w:val="clear" w:color="auto" w:fill="auto"/>
        </w:rPr>
        <w:t>本中心网上挂牌交易系</w:t>
      </w:r>
      <w:r>
        <w:rPr>
          <w:rFonts w:hint="eastAsia" w:ascii="仿宋_GB2312" w:hAnsi="仿宋_GB2312" w:eastAsia="仿宋_GB2312" w:cs="仿宋_GB2312"/>
          <w:sz w:val="32"/>
          <w:szCs w:val="32"/>
          <w:highlight w:val="none"/>
          <w:shd w:val="clear" w:color="auto" w:fill="auto"/>
          <w:lang w:val="en-US" w:eastAsia="zh-CN"/>
        </w:rPr>
        <w:t>统</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下载。</w:t>
      </w:r>
      <w:bookmarkStart w:id="6" w:name="106"/>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十五、</w:t>
      </w:r>
      <w:bookmarkEnd w:id="6"/>
      <w:r>
        <w:rPr>
          <w:rFonts w:hint="eastAsia" w:ascii="仿宋_GB2312" w:hAnsi="仿宋_GB2312" w:eastAsia="仿宋_GB2312" w:cs="仿宋_GB2312"/>
          <w:b/>
          <w:bCs/>
          <w:sz w:val="32"/>
          <w:szCs w:val="32"/>
          <w:highlight w:val="none"/>
          <w:shd w:val="clear" w:color="auto" w:fill="auto"/>
        </w:rPr>
        <w:t>网上挂牌程序</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（一）公布网上挂牌信息</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我中心将有关宗地的位置、面积、用途、使用年期、规划要求、起始价、增价规则及增价幅度等予以公布。有意竞买者可登</w:t>
      </w:r>
      <w:r>
        <w:rPr>
          <w:rFonts w:hint="eastAsia" w:ascii="仿宋_GB2312" w:hAnsi="仿宋_GB2312" w:eastAsia="仿宋_GB2312" w:cs="仿宋_GB2312"/>
          <w:sz w:val="32"/>
          <w:szCs w:val="32"/>
          <w:highlight w:val="none"/>
          <w:shd w:val="clear" w:color="auto" w:fill="auto"/>
          <w:lang w:val="en-US" w:eastAsia="zh-CN"/>
        </w:rPr>
        <w:t>录</w:t>
      </w:r>
      <w:r>
        <w:rPr>
          <w:rFonts w:hint="eastAsia" w:ascii="仿宋_GB2312" w:hAnsi="仿宋_GB2312" w:eastAsia="仿宋_GB2312" w:cs="仿宋_GB2312"/>
          <w:sz w:val="32"/>
          <w:szCs w:val="32"/>
          <w:highlight w:val="none"/>
          <w:shd w:val="clear" w:color="auto" w:fill="auto"/>
        </w:rPr>
        <w:t>惠州市公共资源交易中心土地与矿业网上挂牌交易系统网站(</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)查询。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（二）申请竞买</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shd w:val="clear"/>
        <w:tabs>
          <w:tab w:val="left" w:pos="3388"/>
        </w:tabs>
        <w:spacing w:line="560" w:lineRule="exact"/>
        <w:ind w:firstLine="480" w:firstLineChars="1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（三）交纳保证金</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1、网上挂牌交易从网上挂牌起始时间起开始接受报价。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2、办理好数字证书、按时足额交付竞买保证金并经网上挂牌交易系统确认的竞买人通过网上挂牌交易系统进行报价。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3、网上挂牌交易系统对符合规定的报价予以确认，并更新显示当前报价。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4、网上挂牌交易系统继续接受新的报价。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5、网上挂牌报价规则见《须知》第十三条。</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1、网上挂牌交易系统将在网上挂牌截止时间自动确定网上挂牌截止。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2、网上挂牌交易</w:t>
      </w:r>
      <w:r>
        <w:rPr>
          <w:rFonts w:hint="eastAsia" w:ascii="仿宋_GB2312" w:hAnsi="仿宋_GB2312" w:eastAsia="仿宋_GB2312" w:cs="仿宋_GB2312"/>
          <w:sz w:val="32"/>
          <w:szCs w:val="32"/>
          <w:highlight w:val="none"/>
          <w:shd w:val="clear" w:color="auto" w:fill="auto"/>
          <w:lang w:val="en-US" w:eastAsia="zh-CN"/>
        </w:rPr>
        <w:t>期限截止时，无人报价的，挂牌不成交</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default" w:ascii="仿宋_GB2312" w:hAnsi="仿宋_GB2312" w:eastAsia="仿宋_GB2312" w:cs="仿宋_GB2312"/>
          <w:sz w:val="32"/>
          <w:szCs w:val="32"/>
          <w:highlight w:val="none"/>
          <w:shd w:val="clear" w:color="auto" w:fill="auto"/>
          <w:lang w:val="en-US"/>
        </w:rPr>
      </w:pPr>
      <w:r>
        <w:rPr>
          <w:rFonts w:hint="eastAsia" w:ascii="仿宋_GB2312" w:hAnsi="仿宋_GB2312" w:eastAsia="仿宋_GB2312" w:cs="仿宋_GB2312"/>
          <w:sz w:val="32"/>
          <w:szCs w:val="32"/>
          <w:highlight w:val="none"/>
          <w:shd w:val="clear" w:color="auto" w:fill="auto"/>
        </w:rPr>
        <w:t>3、网上挂牌交易</w:t>
      </w:r>
      <w:r>
        <w:rPr>
          <w:rFonts w:hint="eastAsia" w:ascii="仿宋_GB2312" w:hAnsi="仿宋_GB2312" w:eastAsia="仿宋_GB2312" w:cs="仿宋_GB2312"/>
          <w:sz w:val="32"/>
          <w:szCs w:val="32"/>
          <w:highlight w:val="none"/>
          <w:shd w:val="clear" w:color="auto" w:fill="auto"/>
          <w:lang w:val="en-US" w:eastAsia="zh-CN"/>
        </w:rPr>
        <w:t>期限截止时，只有1个竞买人报价，且报价不低于起始价的，挂牌成交，该报价者为竞得人。</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shd w:val="clear"/>
        <w:tabs>
          <w:tab w:val="left" w:pos="3388"/>
        </w:tabs>
        <w:spacing w:line="560" w:lineRule="exact"/>
        <w:jc w:val="left"/>
        <w:rPr>
          <w:rFonts w:hint="eastAsia"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网上限时竞价中无人报价的，以网上挂牌截止时出价最高</w:t>
      </w:r>
      <w:r>
        <w:rPr>
          <w:rFonts w:hint="eastAsia" w:ascii="仿宋_GB2312" w:hAnsi="仿宋_GB2312" w:eastAsia="仿宋_GB2312" w:cs="仿宋_GB2312"/>
          <w:sz w:val="32"/>
          <w:szCs w:val="32"/>
          <w:highlight w:val="none"/>
          <w:shd w:val="clear" w:color="auto" w:fill="auto"/>
          <w:lang w:val="en-US" w:eastAsia="zh-CN"/>
        </w:rPr>
        <w:t>且报价不低于起始价者</w:t>
      </w:r>
      <w:r>
        <w:rPr>
          <w:rFonts w:hint="eastAsia" w:ascii="仿宋_GB2312" w:hAnsi="仿宋_GB2312" w:eastAsia="仿宋_GB2312" w:cs="仿宋_GB2312"/>
          <w:sz w:val="32"/>
          <w:szCs w:val="32"/>
          <w:highlight w:val="none"/>
          <w:shd w:val="clear" w:color="auto" w:fill="auto"/>
        </w:rPr>
        <w:t>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经网上挂牌交易系统询问完毕后，没有竞买人表示愿意继续竞价的，</w:t>
      </w:r>
      <w:r>
        <w:rPr>
          <w:rFonts w:hint="eastAsia" w:ascii="仿宋_GB2312" w:hAnsi="仿宋_GB2312" w:eastAsia="仿宋_GB2312" w:cs="仿宋_GB2312"/>
          <w:sz w:val="32"/>
          <w:szCs w:val="32"/>
          <w:highlight w:val="none"/>
          <w:shd w:val="clear" w:color="auto" w:fill="auto"/>
          <w:lang w:val="en-US" w:eastAsia="zh-CN"/>
        </w:rPr>
        <w:t>以</w:t>
      </w:r>
      <w:r>
        <w:rPr>
          <w:rFonts w:hint="eastAsia" w:ascii="仿宋_GB2312" w:hAnsi="仿宋_GB2312" w:eastAsia="仿宋_GB2312" w:cs="仿宋_GB2312"/>
          <w:sz w:val="32"/>
          <w:szCs w:val="32"/>
          <w:highlight w:val="none"/>
          <w:shd w:val="clear" w:color="auto" w:fill="auto"/>
        </w:rPr>
        <w:t>网上挂牌交易</w:t>
      </w:r>
      <w:r>
        <w:rPr>
          <w:rFonts w:hint="eastAsia" w:ascii="仿宋_GB2312" w:hAnsi="仿宋_GB2312" w:eastAsia="仿宋_GB2312" w:cs="仿宋_GB2312"/>
          <w:sz w:val="32"/>
          <w:szCs w:val="32"/>
          <w:highlight w:val="none"/>
          <w:shd w:val="clear" w:color="auto" w:fill="auto"/>
          <w:lang w:val="en-US" w:eastAsia="zh-CN"/>
        </w:rPr>
        <w:t>截止时报价最高且报价不低于起始价者为竞得人。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资格审查和签订《成交确认书》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《竞买保证金到账通知书》并盖章。</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2、竞得人应当在网上挂牌交易结果公布</w:t>
      </w:r>
      <w:r>
        <w:rPr>
          <w:rFonts w:hint="eastAsia" w:ascii="仿宋_GB2312" w:hAnsi="仿宋_GB2312" w:eastAsia="仿宋_GB2312" w:cs="仿宋_GB2312"/>
          <w:sz w:val="32"/>
          <w:szCs w:val="32"/>
          <w:highlight w:val="none"/>
          <w:shd w:val="clear" w:color="auto" w:fill="auto"/>
          <w:lang w:val="en-US" w:eastAsia="zh-CN"/>
        </w:rPr>
        <w:t>之日起5</w:t>
      </w:r>
      <w:r>
        <w:rPr>
          <w:rFonts w:hint="eastAsia" w:ascii="仿宋_GB2312" w:hAnsi="仿宋_GB2312" w:eastAsia="仿宋_GB2312" w:cs="仿宋_GB2312"/>
          <w:sz w:val="32"/>
          <w:szCs w:val="32"/>
          <w:highlight w:val="none"/>
          <w:shd w:val="clear" w:color="auto" w:fill="auto"/>
        </w:rPr>
        <w:t>个工作日内持公司公章及下列有关纸质材料到本中心进行</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（1）《竞买申请书》（加盖公章）。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（2）《竞价结果通知书》（加盖公章）。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（3）《竞买保证金到账通知书》（加盖公章）。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（4）</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凭证复印件（加盖公章）</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（5）申请竞买人有效的《营业执照》复印件（加盖公章）（二份）。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（6）法定代表人身份证复印件（加盖公章）（二份</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）授权他人代理的授权委托书及代理人身份证复印件（核对原件）。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rPr>
        <w:t>《项目</w:t>
      </w:r>
      <w:r>
        <w:rPr>
          <w:rFonts w:hint="eastAsia" w:ascii="仿宋_GB2312" w:hAnsi="宋体" w:eastAsia="仿宋_GB2312" w:cs="宋体"/>
          <w:color w:val="auto"/>
          <w:kern w:val="0"/>
          <w:sz w:val="32"/>
          <w:szCs w:val="32"/>
          <w:highlight w:val="none"/>
          <w:shd w:val="clear" w:color="auto" w:fill="auto"/>
          <w:lang w:val="en-US" w:eastAsia="zh-CN"/>
        </w:rPr>
        <w:t>实施</w:t>
      </w:r>
      <w:r>
        <w:rPr>
          <w:rFonts w:hint="eastAsia" w:ascii="仿宋_GB2312" w:hAnsi="宋体" w:eastAsia="仿宋_GB2312" w:cs="宋体"/>
          <w:color w:val="auto"/>
          <w:kern w:val="0"/>
          <w:sz w:val="32"/>
          <w:szCs w:val="32"/>
          <w:highlight w:val="none"/>
          <w:shd w:val="clear" w:color="auto" w:fill="auto"/>
        </w:rPr>
        <w:t>监管协议书》。</w:t>
      </w:r>
    </w:p>
    <w:p>
      <w:pPr>
        <w:shd w:val="clea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rPr>
        <w:t>提交惠城区发改局出具的与该宗地块产业类型一致的优先发展产业项目文件。</w:t>
      </w:r>
    </w:p>
    <w:p>
      <w:pPr>
        <w:pStyle w:val="2"/>
        <w:shd w:val="clear"/>
        <w:ind w:left="0" w:leftChars="0" w:firstLine="640" w:firstLineChars="200"/>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）联合竞买协议（联合竞买的提供）。</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val="en-US" w:eastAsia="zh-CN"/>
        </w:rPr>
        <w:t>（11）竞买</w:t>
      </w:r>
      <w:r>
        <w:rPr>
          <w:rFonts w:hint="eastAsia" w:ascii="仿宋_GB2312" w:hAnsi="仿宋_GB2312" w:eastAsia="仿宋_GB2312" w:cs="仿宋_GB2312"/>
          <w:sz w:val="32"/>
          <w:szCs w:val="32"/>
          <w:highlight w:val="none"/>
          <w:shd w:val="clear" w:color="auto" w:fill="auto"/>
        </w:rPr>
        <w:t>人及其控股股东</w:t>
      </w:r>
      <w:r>
        <w:rPr>
          <w:rFonts w:hint="eastAsia" w:ascii="仿宋_GB2312" w:hAnsi="仿宋_GB2312" w:eastAsia="仿宋_GB2312" w:cs="仿宋_GB2312"/>
          <w:sz w:val="32"/>
          <w:szCs w:val="32"/>
          <w:highlight w:val="none"/>
          <w:shd w:val="clear" w:color="auto" w:fill="auto"/>
          <w:lang w:val="en-US" w:eastAsia="zh-CN"/>
        </w:rPr>
        <w:t>不</w:t>
      </w:r>
      <w:r>
        <w:rPr>
          <w:rFonts w:hint="eastAsia" w:ascii="仿宋_GB2312" w:hAnsi="仿宋_GB2312" w:eastAsia="仿宋_GB2312" w:cs="仿宋_GB2312"/>
          <w:sz w:val="32"/>
          <w:szCs w:val="32"/>
          <w:highlight w:val="none"/>
          <w:shd w:val="clear" w:color="auto" w:fill="auto"/>
        </w:rPr>
        <w:t>存在违法、违规、违约行为的</w:t>
      </w:r>
      <w:r>
        <w:rPr>
          <w:rFonts w:hint="eastAsia" w:ascii="仿宋_GB2312" w:hAnsi="仿宋_GB2312" w:eastAsia="仿宋_GB2312" w:cs="仿宋_GB2312"/>
          <w:sz w:val="32"/>
          <w:szCs w:val="32"/>
          <w:highlight w:val="none"/>
          <w:shd w:val="clear" w:color="auto" w:fill="auto"/>
          <w:lang w:val="en-US" w:eastAsia="zh-CN"/>
        </w:rPr>
        <w:t>承诺书</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上述第（</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）项材料须使用本中心标准样本，可在本系统的“挂牌文件”中下载。</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竞买人如需保存上述竞买报名资料应自留备份，本中心不予退还。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联合竞买协议要约定联合各方的权利和义务。必须明确表达参与联合竞买的各方、参与竞买的代表人、联合各方的出资比例和签订《出让合同》时的受让人。</w:t>
      </w:r>
    </w:p>
    <w:p>
      <w:pPr>
        <w:shd w:val="clear"/>
        <w:tabs>
          <w:tab w:val="left" w:pos="3388"/>
        </w:tabs>
        <w:spacing w:line="560" w:lineRule="exact"/>
        <w:ind w:firstLine="643" w:firstLineChars="200"/>
        <w:jc w:val="left"/>
        <w:rPr>
          <w:rFonts w:hint="eastAsia"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上述文件中，申请书必须用中文书写，其他文件可以使用其它语言，但必须附中文译本，所有文件的解释以中文译本为准。</w:t>
      </w:r>
    </w:p>
    <w:p>
      <w:pPr>
        <w:pStyle w:val="2"/>
        <w:shd w:val="clear"/>
        <w:ind w:left="0" w:leftChars="0" w:firstLine="640" w:firstLineChars="0"/>
        <w:rPr>
          <w:rFonts w:hint="default"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3、经审查，符合</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b w:val="0"/>
          <w:bCs w:val="0"/>
          <w:sz w:val="32"/>
          <w:szCs w:val="32"/>
          <w:highlight w:val="none"/>
          <w:shd w:val="clear" w:color="auto" w:fill="auto"/>
          <w:lang w:val="en-US" w:eastAsia="zh-CN"/>
        </w:rPr>
        <w:t>资格的，竞得人应当按挂牌文件的约定时间与本中心及出让人签订《成交确认书》；经审查，不符合竞买资格的，按本须知第六条处理。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）网上挂牌出让结果公示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7" w:name="108"/>
      <w:r>
        <w:rPr>
          <w:rFonts w:hint="eastAsia" w:ascii="仿宋_GB2312" w:hAnsi="仿宋_GB2312" w:eastAsia="仿宋_GB2312" w:cs="仿宋_GB2312"/>
          <w:b/>
          <w:bCs/>
          <w:sz w:val="32"/>
          <w:szCs w:val="32"/>
          <w:highlight w:val="none"/>
          <w:shd w:val="clear" w:color="auto" w:fill="auto"/>
        </w:rPr>
        <w:t>十六、</w:t>
      </w:r>
      <w:bookmarkEnd w:id="7"/>
      <w:r>
        <w:rPr>
          <w:rFonts w:hint="eastAsia" w:ascii="仿宋_GB2312" w:hAnsi="仿宋_GB2312" w:eastAsia="仿宋_GB2312" w:cs="仿宋_GB2312"/>
          <w:b/>
          <w:bCs/>
          <w:sz w:val="32"/>
          <w:szCs w:val="32"/>
          <w:highlight w:val="none"/>
          <w:shd w:val="clear" w:color="auto" w:fill="auto"/>
        </w:rPr>
        <w:t>注意事项</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（二）本次国有建设用地使用权网上挂牌出让为无底价挂牌出让，按照价高者得的原则确定竞得人。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宋体" w:eastAsia="仿宋_GB2312" w:cs="宋体"/>
          <w:color w:val="auto"/>
          <w:kern w:val="0"/>
          <w:sz w:val="32"/>
          <w:szCs w:val="32"/>
          <w:highlight w:val="none"/>
          <w:shd w:val="clear" w:color="auto" w:fill="auto"/>
        </w:rPr>
        <w:t>即新公司的股东必须100%是竞买申请企业作为法人的股东</w:t>
      </w:r>
      <w:r>
        <w:rPr>
          <w:rFonts w:hint="eastAsia" w:ascii="仿宋_GB2312" w:hAnsi="仿宋_GB2312" w:eastAsia="仿宋_GB2312" w:cs="仿宋_GB2312"/>
          <w:sz w:val="32"/>
          <w:szCs w:val="32"/>
          <w:highlight w:val="none"/>
          <w:shd w:val="clear" w:color="auto" w:fill="auto"/>
        </w:rPr>
        <w:t>。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）确定竞得人后，竞得人持《</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通知书》以及参加本宗地网上挂牌交易的所须资料到惠州市公共资源交易中心土地矿业交易部申办相关成交确认手续。</w:t>
      </w:r>
    </w:p>
    <w:p>
      <w:pPr>
        <w:shd w:val="clear"/>
        <w:tabs>
          <w:tab w:val="left" w:pos="3388"/>
        </w:tabs>
        <w:spacing w:line="560" w:lineRule="exact"/>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通知书》对挂牌人和竞得人具有法律效力，挂牌人改变网上挂牌结果的，或者竞得人放弃竞得宗地的，应当承担相应法律责任。</w:t>
      </w:r>
    </w:p>
    <w:p>
      <w:pPr>
        <w:keepNext w:val="0"/>
        <w:keepLines w:val="0"/>
        <w:pageBreakBefore w:val="0"/>
        <w:widowControl w:val="0"/>
        <w:shd w:val="clear"/>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网上挂牌系统确定成交后，竞得人缴纳的竞买保证金按</w:t>
      </w:r>
      <w:r>
        <w:rPr>
          <w:rFonts w:hint="eastAsia" w:ascii="仿宋_GB2312" w:hAnsi="仿宋_GB2312" w:eastAsia="仿宋_GB2312" w:cs="仿宋_GB2312"/>
          <w:sz w:val="32"/>
          <w:szCs w:val="32"/>
          <w:highlight w:val="none"/>
          <w:shd w:val="clear" w:color="auto" w:fill="auto"/>
          <w:lang w:val="en-US" w:eastAsia="zh-CN"/>
        </w:rPr>
        <w:t>成交价的</w:t>
      </w:r>
      <w:r>
        <w:rPr>
          <w:rFonts w:hint="eastAsia" w:ascii="仿宋_GB2312" w:hAnsi="仿宋_GB2312" w:eastAsia="仿宋_GB2312" w:cs="仿宋_GB2312"/>
          <w:color w:val="auto"/>
          <w:sz w:val="32"/>
          <w:szCs w:val="32"/>
          <w:highlight w:val="none"/>
          <w:shd w:val="clear" w:color="auto" w:fill="auto"/>
          <w:lang w:val="en-US" w:eastAsia="zh-CN"/>
        </w:rPr>
        <w:t>20%</w:t>
      </w:r>
      <w:r>
        <w:rPr>
          <w:rFonts w:hint="eastAsia" w:ascii="仿宋_GB2312" w:hAnsi="仿宋_GB2312" w:eastAsia="仿宋_GB2312" w:cs="仿宋_GB2312"/>
          <w:sz w:val="32"/>
          <w:szCs w:val="32"/>
          <w:highlight w:val="none"/>
          <w:shd w:val="clear" w:color="auto" w:fill="auto"/>
          <w:lang w:val="en-US" w:eastAsia="zh-CN"/>
        </w:rPr>
        <w:t>转作</w:t>
      </w:r>
      <w:r>
        <w:rPr>
          <w:rFonts w:hint="eastAsia" w:ascii="仿宋_GB2312" w:hAnsi="仿宋_GB2312" w:eastAsia="仿宋_GB2312" w:cs="仿宋_GB2312"/>
          <w:sz w:val="32"/>
          <w:szCs w:val="32"/>
          <w:highlight w:val="none"/>
          <w:shd w:val="clear" w:color="auto" w:fill="auto"/>
        </w:rPr>
        <w:t>定金</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如</w:t>
      </w:r>
      <w:r>
        <w:rPr>
          <w:rFonts w:hint="eastAsia" w:ascii="仿宋_GB2312" w:hAnsi="仿宋_GB2312" w:eastAsia="仿宋_GB2312" w:cs="仿宋_GB2312"/>
          <w:sz w:val="32"/>
          <w:szCs w:val="32"/>
          <w:highlight w:val="none"/>
          <w:shd w:val="clear" w:color="auto" w:fill="auto"/>
          <w:lang w:eastAsia="zh-CN"/>
        </w:rPr>
        <w:t>竞买保证金</w:t>
      </w:r>
      <w:r>
        <w:rPr>
          <w:rFonts w:hint="eastAsia" w:ascii="仿宋_GB2312" w:hAnsi="仿宋_GB2312" w:eastAsia="仿宋_GB2312" w:cs="仿宋_GB2312"/>
          <w:sz w:val="32"/>
          <w:szCs w:val="32"/>
          <w:highlight w:val="none"/>
          <w:shd w:val="clear" w:color="auto" w:fill="auto"/>
          <w:lang w:val="en-US" w:eastAsia="zh-CN"/>
        </w:rPr>
        <w:t>不足以缴纳定金，</w:t>
      </w:r>
      <w:r>
        <w:rPr>
          <w:rFonts w:hint="eastAsia" w:ascii="仿宋_GB2312" w:hAnsi="仿宋_GB2312" w:eastAsia="仿宋_GB2312" w:cs="仿宋_GB2312"/>
          <w:sz w:val="32"/>
          <w:szCs w:val="32"/>
          <w:highlight w:val="none"/>
          <w:shd w:val="clear" w:color="auto" w:fill="auto"/>
        </w:rPr>
        <w:t>不足部分在交易系统确定成交之日起5个工作日内补齐</w:t>
      </w:r>
      <w:r>
        <w:rPr>
          <w:rFonts w:hint="eastAsia" w:ascii="仿宋_GB2312" w:hAnsi="仿宋_GB2312" w:eastAsia="仿宋_GB2312" w:cs="仿宋_GB2312"/>
          <w:sz w:val="32"/>
          <w:szCs w:val="32"/>
          <w:highlight w:val="none"/>
          <w:shd w:val="clear" w:color="auto" w:fill="auto"/>
          <w:lang w:eastAsia="zh-CN"/>
        </w:rPr>
        <w:t>；如竞买保证金转作定金</w:t>
      </w:r>
      <w:r>
        <w:rPr>
          <w:rFonts w:hint="eastAsia" w:ascii="仿宋_GB2312" w:hAnsi="仿宋_GB2312" w:eastAsia="仿宋_GB2312" w:cs="仿宋_GB2312"/>
          <w:sz w:val="32"/>
          <w:szCs w:val="32"/>
          <w:highlight w:val="none"/>
          <w:shd w:val="clear" w:color="auto" w:fill="auto"/>
          <w:lang w:val="en-US" w:eastAsia="zh-CN"/>
        </w:rPr>
        <w:t>后有剩余</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余额抵作</w:t>
      </w:r>
      <w:r>
        <w:rPr>
          <w:rFonts w:hint="eastAsia" w:ascii="仿宋_GB2312" w:hAnsi="仿宋_GB2312" w:eastAsia="仿宋_GB2312" w:cs="仿宋_GB2312"/>
          <w:sz w:val="32"/>
          <w:szCs w:val="32"/>
          <w:highlight w:val="none"/>
          <w:shd w:val="clear" w:color="auto" w:fill="auto"/>
          <w:lang w:val="en-US" w:eastAsia="zh-CN"/>
        </w:rPr>
        <w:t>土地</w:t>
      </w:r>
      <w:r>
        <w:rPr>
          <w:rFonts w:hint="eastAsia" w:ascii="仿宋_GB2312" w:hAnsi="仿宋_GB2312" w:eastAsia="仿宋_GB2312" w:cs="仿宋_GB2312"/>
          <w:sz w:val="32"/>
          <w:szCs w:val="32"/>
          <w:highlight w:val="none"/>
          <w:shd w:val="clear" w:color="auto" w:fill="auto"/>
        </w:rPr>
        <w:t>成交价</w:t>
      </w:r>
      <w:r>
        <w:rPr>
          <w:rFonts w:hint="eastAsia" w:ascii="仿宋_GB2312" w:hAnsi="仿宋_GB2312" w:eastAsia="仿宋_GB2312" w:cs="仿宋_GB2312"/>
          <w:sz w:val="32"/>
          <w:szCs w:val="32"/>
          <w:highlight w:val="none"/>
          <w:shd w:val="clear" w:color="auto" w:fill="auto"/>
          <w:lang w:val="en-US" w:eastAsia="zh-CN"/>
        </w:rPr>
        <w:t>的预付</w:t>
      </w:r>
      <w:r>
        <w:rPr>
          <w:rFonts w:hint="eastAsia" w:ascii="仿宋_GB2312" w:hAnsi="仿宋_GB2312" w:eastAsia="仿宋_GB2312" w:cs="仿宋_GB2312"/>
          <w:sz w:val="32"/>
          <w:szCs w:val="32"/>
          <w:highlight w:val="none"/>
          <w:shd w:val="clear" w:color="auto" w:fill="auto"/>
        </w:rPr>
        <w:t>款</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竞得人签订《出让合同》后，定金可抵作土地成交价款，余额转作成交价款。</w:t>
      </w:r>
    </w:p>
    <w:p>
      <w:pPr>
        <w:tabs>
          <w:tab w:val="left" w:pos="3388"/>
        </w:tabs>
        <w:spacing w:line="560" w:lineRule="exact"/>
        <w:ind w:firstLine="640" w:firstLineChars="200"/>
        <w:jc w:val="left"/>
        <w:rPr>
          <w:rFonts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sz w:val="32"/>
          <w:szCs w:val="32"/>
        </w:rPr>
        <w:t>未竞得人缴纳的竞买保证金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以人民币缴纳的竞买保证金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w:t>
      </w:r>
      <w:r>
        <w:rPr>
          <w:rFonts w:hint="eastAsia" w:ascii="仿宋_GB2312" w:hAnsi="仿宋_GB2312" w:eastAsia="仿宋_GB2312" w:cs="仿宋_GB2312"/>
          <w:sz w:val="32"/>
          <w:szCs w:val="32"/>
          <w:lang w:val="en-US" w:eastAsia="zh-CN"/>
        </w:rPr>
        <w:t>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sz w:val="32"/>
          <w:szCs w:val="32"/>
          <w:lang w:val="en-US" w:eastAsia="zh-CN"/>
        </w:rPr>
        <w:t>。</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color w:val="000000"/>
          <w:kern w:val="2"/>
          <w:sz w:val="32"/>
          <w:szCs w:val="32"/>
          <w:highlight w:val="none"/>
          <w:shd w:val="clear" w:color="auto" w:fill="auto"/>
          <w:lang w:val="en-US" w:eastAsia="zh-CN" w:bidi="ar-SA"/>
        </w:rPr>
        <w:t>竞得人应当在《成交确认书》签订之日起5个工作日内与出让人签订《出让合同》。</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numPr>
          <w:ilvl w:val="0"/>
          <w:numId w:val="1"/>
        </w:num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numPr>
          <w:ilvl w:val="0"/>
          <w:numId w:val="0"/>
        </w:num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八</w:t>
      </w:r>
      <w:r>
        <w:rPr>
          <w:rFonts w:hint="eastAsia" w:ascii="仿宋_GB2312" w:hAnsi="仿宋_GB2312" w:eastAsia="仿宋_GB2312" w:cs="仿宋_GB2312"/>
          <w:sz w:val="32"/>
          <w:szCs w:val="32"/>
          <w:highlight w:val="none"/>
          <w:shd w:val="clear" w:color="auto" w:fill="auto"/>
        </w:rPr>
        <w:t>）有下列情形之一的，本中心将暂停、中止或终止网上挂牌交易活动：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1、网上挂牌交易系统受到网络恶意入侵的。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2、因网上挂牌交易系统遭受破坏或发生电力、网络故障等不可抗力因素，导致网上挂牌交易系统不能正常运行的。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3、网上挂牌交易委托人根据有关规定要求暂停、中止或终止网上挂牌交易活动的。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4、涉及土地或矿业权纠纷，不能及时解决的。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5、司法机关要求暂停、中止或终止网上挂牌交易活动的。</w:t>
      </w:r>
    </w:p>
    <w:p>
      <w:pPr>
        <w:shd w:val="clear"/>
        <w:spacing w:line="560" w:lineRule="exact"/>
        <w:rPr>
          <w:rFonts w:ascii="仿宋_GB2312" w:eastAsia="仿宋_GB231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eastAsia="仿宋_GB2312"/>
          <w:sz w:val="32"/>
          <w:szCs w:val="32"/>
          <w:highlight w:val="none"/>
          <w:shd w:val="clear" w:color="auto" w:fill="auto"/>
        </w:rPr>
        <w:t>6、</w:t>
      </w:r>
      <w:r>
        <w:rPr>
          <w:rFonts w:hint="eastAsia" w:ascii="仿宋_GB2312" w:eastAsia="仿宋_GB2312"/>
          <w:sz w:val="32"/>
          <w:szCs w:val="32"/>
          <w:highlight w:val="none"/>
          <w:shd w:val="clear" w:color="auto" w:fill="auto"/>
          <w:lang w:val="en-US" w:eastAsia="zh-CN"/>
        </w:rPr>
        <w:t>惠州</w:t>
      </w:r>
      <w:r>
        <w:rPr>
          <w:rFonts w:hint="eastAsia" w:ascii="仿宋_GB2312" w:eastAsia="仿宋_GB2312"/>
          <w:sz w:val="32"/>
          <w:szCs w:val="32"/>
          <w:highlight w:val="none"/>
          <w:shd w:val="clear" w:color="auto" w:fill="auto"/>
        </w:rPr>
        <w:t>市</w:t>
      </w:r>
      <w:r>
        <w:rPr>
          <w:rFonts w:hint="eastAsia" w:ascii="仿宋_GB2312" w:eastAsia="仿宋_GB2312"/>
          <w:sz w:val="32"/>
          <w:szCs w:val="32"/>
          <w:highlight w:val="none"/>
          <w:shd w:val="clear" w:color="auto" w:fill="auto"/>
          <w:lang w:val="en-US" w:eastAsia="zh-CN"/>
        </w:rPr>
        <w:t>惠城区</w:t>
      </w:r>
      <w:r>
        <w:rPr>
          <w:rFonts w:hint="eastAsia" w:ascii="仿宋_GB2312" w:eastAsia="仿宋_GB2312"/>
          <w:sz w:val="32"/>
          <w:szCs w:val="32"/>
          <w:highlight w:val="none"/>
          <w:shd w:val="clear" w:color="auto" w:fill="auto"/>
        </w:rPr>
        <w:t>自然资源管理部门或交易中心认为应当暂停、中止或终止网上挂牌交易活动的其他情形。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九</w:t>
      </w:r>
      <w:r>
        <w:rPr>
          <w:rFonts w:hint="eastAsia" w:ascii="仿宋_GB2312" w:hAnsi="仿宋_GB2312" w:eastAsia="仿宋_GB2312" w:cs="仿宋_GB2312"/>
          <w:sz w:val="32"/>
          <w:szCs w:val="32"/>
          <w:highlight w:val="none"/>
          <w:shd w:val="clear" w:color="auto" w:fill="auto"/>
        </w:rPr>
        <w:t>）网上挂牌成交价即为该幅地块的总地价款，竞得人除支付成交价款外，还需支付契税、印花税等有关费用。</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eastAsia="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rPr>
        <w:t>竞得人与出让人签订《出让合同》后，应当按出让合同约定支付网上挂牌成交价款。竞得人付清全部网上挂牌成交价款后，依法申请办理土地登记，领取《不动产权证书》。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一</w:t>
      </w:r>
      <w:r>
        <w:rPr>
          <w:rFonts w:hint="eastAsia" w:ascii="仿宋_GB2312" w:hAnsi="仿宋_GB2312" w:eastAsia="仿宋_GB2312" w:cs="仿宋_GB2312"/>
          <w:sz w:val="32"/>
          <w:szCs w:val="32"/>
          <w:highlight w:val="none"/>
          <w:shd w:val="clear" w:color="auto" w:fill="auto"/>
        </w:rPr>
        <w:t>）网上挂牌不成交的，应当按规定由委托方和本中心重新组织出让。</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二</w:t>
      </w:r>
      <w:r>
        <w:rPr>
          <w:rFonts w:hint="eastAsia" w:ascii="仿宋_GB2312" w:hAnsi="仿宋_GB2312" w:eastAsia="仿宋_GB2312" w:cs="仿宋_GB2312"/>
          <w:sz w:val="32"/>
          <w:szCs w:val="32"/>
          <w:highlight w:val="none"/>
          <w:shd w:val="clear" w:color="auto" w:fill="auto"/>
        </w:rPr>
        <w:t>）本中心认为需要对网上挂牌出让须知、公告及相关交易文件作出修改、补充时，将通过原公告发布渠道公告，不作另行通知。</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）本须知及公告涉及的时间期限，以惠州市公共资源交易中心土地与矿业网上挂牌交易系统服务器的时间为准。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）竞买人在本次网上挂牌交易过程中与惠州市公共资源交易中心发生任何争议，由双方协商。协商不成的可依法提交惠州市仲裁机构仲裁解决。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）本中心对本《须知》有解释权。未尽事宜依照《招标拍卖挂牌出让国有土地使用权规范》办理。</w:t>
      </w:r>
    </w:p>
    <w:p>
      <w:pPr>
        <w:pStyle w:val="2"/>
        <w:shd w:val="clear"/>
        <w:rPr>
          <w:highlight w:val="none"/>
          <w:shd w:val="clear" w:color="auto" w:fill="auto"/>
        </w:rPr>
      </w:pPr>
    </w:p>
    <w:p>
      <w:pPr>
        <w:pStyle w:val="2"/>
        <w:shd w:val="clear"/>
        <w:rPr>
          <w:highlight w:val="none"/>
          <w:shd w:val="clear" w:color="auto" w:fill="auto"/>
        </w:rPr>
      </w:pPr>
    </w:p>
    <w:p>
      <w:pPr>
        <w:shd w:val="clear"/>
        <w:tabs>
          <w:tab w:val="left" w:pos="3388"/>
        </w:tabs>
        <w:ind w:firstLine="4640" w:firstLineChars="14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惠州市公共资源交易中心</w:t>
      </w:r>
    </w:p>
    <w:p>
      <w:pPr>
        <w:shd w:val="clear"/>
        <w:tabs>
          <w:tab w:val="left" w:pos="3388"/>
        </w:tabs>
        <w:jc w:val="left"/>
        <w:rPr>
          <w:rFonts w:ascii="仿宋_GB2312" w:hAnsi="仿宋_GB2312" w:eastAsia="仿宋_GB2312" w:cs="仿宋_GB2312"/>
          <w:sz w:val="32"/>
          <w:szCs w:val="32"/>
          <w:highlight w:val="none"/>
          <w:shd w:val="clear" w:color="FFFFFF" w:fill="D9D9D9"/>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2021年10月22日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4214A8"/>
    <w:multiLevelType w:val="singleLevel"/>
    <w:tmpl w:val="944214A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0708B1"/>
    <w:rsid w:val="01B51C7D"/>
    <w:rsid w:val="031A11BD"/>
    <w:rsid w:val="042C6BAB"/>
    <w:rsid w:val="04BB2A35"/>
    <w:rsid w:val="04F7599A"/>
    <w:rsid w:val="05280DC9"/>
    <w:rsid w:val="054F511E"/>
    <w:rsid w:val="05616BEE"/>
    <w:rsid w:val="05AA6043"/>
    <w:rsid w:val="065D58C0"/>
    <w:rsid w:val="06E22DF8"/>
    <w:rsid w:val="071F73B3"/>
    <w:rsid w:val="077D5D24"/>
    <w:rsid w:val="07F629A0"/>
    <w:rsid w:val="08273751"/>
    <w:rsid w:val="091E26EA"/>
    <w:rsid w:val="09317644"/>
    <w:rsid w:val="0A812477"/>
    <w:rsid w:val="0ACC066B"/>
    <w:rsid w:val="0B1406EF"/>
    <w:rsid w:val="0C40433F"/>
    <w:rsid w:val="0C8642BF"/>
    <w:rsid w:val="0C9B2169"/>
    <w:rsid w:val="0DCB3B54"/>
    <w:rsid w:val="0FB217AF"/>
    <w:rsid w:val="0FB2799E"/>
    <w:rsid w:val="10152918"/>
    <w:rsid w:val="105A2768"/>
    <w:rsid w:val="10A1573B"/>
    <w:rsid w:val="10B43BC1"/>
    <w:rsid w:val="111E117E"/>
    <w:rsid w:val="11A17A14"/>
    <w:rsid w:val="12295A9F"/>
    <w:rsid w:val="141106B3"/>
    <w:rsid w:val="14924D3E"/>
    <w:rsid w:val="15BB632B"/>
    <w:rsid w:val="15C4392F"/>
    <w:rsid w:val="15D340EA"/>
    <w:rsid w:val="16615977"/>
    <w:rsid w:val="168C318D"/>
    <w:rsid w:val="16AE6DA7"/>
    <w:rsid w:val="170F4C1C"/>
    <w:rsid w:val="18220C10"/>
    <w:rsid w:val="1960257D"/>
    <w:rsid w:val="19D941D6"/>
    <w:rsid w:val="19F36C6A"/>
    <w:rsid w:val="1C431BA6"/>
    <w:rsid w:val="1CB6407B"/>
    <w:rsid w:val="1DE56E00"/>
    <w:rsid w:val="1E4A3E3B"/>
    <w:rsid w:val="1E9B31A0"/>
    <w:rsid w:val="1ED73189"/>
    <w:rsid w:val="1F1E4268"/>
    <w:rsid w:val="20855E22"/>
    <w:rsid w:val="21587C67"/>
    <w:rsid w:val="22463965"/>
    <w:rsid w:val="2249566B"/>
    <w:rsid w:val="22661D8C"/>
    <w:rsid w:val="22DC01FC"/>
    <w:rsid w:val="23141DA3"/>
    <w:rsid w:val="247C6354"/>
    <w:rsid w:val="256A5D13"/>
    <w:rsid w:val="259D34B7"/>
    <w:rsid w:val="25D63F7C"/>
    <w:rsid w:val="26391FD0"/>
    <w:rsid w:val="26741665"/>
    <w:rsid w:val="270B4267"/>
    <w:rsid w:val="272C05B0"/>
    <w:rsid w:val="282C1E6E"/>
    <w:rsid w:val="28D2352A"/>
    <w:rsid w:val="28ED736B"/>
    <w:rsid w:val="29220F8B"/>
    <w:rsid w:val="29DE5841"/>
    <w:rsid w:val="2A636D11"/>
    <w:rsid w:val="2AA45603"/>
    <w:rsid w:val="2AE43BE2"/>
    <w:rsid w:val="2B1A2077"/>
    <w:rsid w:val="2CA246FC"/>
    <w:rsid w:val="2CD752D7"/>
    <w:rsid w:val="2D027EED"/>
    <w:rsid w:val="2D2632FD"/>
    <w:rsid w:val="2DEB4267"/>
    <w:rsid w:val="2E9B6EAE"/>
    <w:rsid w:val="2F0337D6"/>
    <w:rsid w:val="2F944F64"/>
    <w:rsid w:val="2FA2409E"/>
    <w:rsid w:val="302645FE"/>
    <w:rsid w:val="30884005"/>
    <w:rsid w:val="30AC5587"/>
    <w:rsid w:val="30DB33EE"/>
    <w:rsid w:val="313D23E2"/>
    <w:rsid w:val="31880862"/>
    <w:rsid w:val="31B60A9D"/>
    <w:rsid w:val="324E22EE"/>
    <w:rsid w:val="33A33367"/>
    <w:rsid w:val="33CE0AAA"/>
    <w:rsid w:val="34B40523"/>
    <w:rsid w:val="34C41D04"/>
    <w:rsid w:val="34CD617E"/>
    <w:rsid w:val="360B04FE"/>
    <w:rsid w:val="378C6660"/>
    <w:rsid w:val="37FB7A76"/>
    <w:rsid w:val="38DE5E51"/>
    <w:rsid w:val="390E539D"/>
    <w:rsid w:val="3A6628A9"/>
    <w:rsid w:val="3C4A4143"/>
    <w:rsid w:val="3C5E598F"/>
    <w:rsid w:val="3C8F0E4F"/>
    <w:rsid w:val="3CAD2EC5"/>
    <w:rsid w:val="3CB0200F"/>
    <w:rsid w:val="3CB81CC8"/>
    <w:rsid w:val="3D322E34"/>
    <w:rsid w:val="3D34683B"/>
    <w:rsid w:val="3D5E1016"/>
    <w:rsid w:val="3DAA2FBD"/>
    <w:rsid w:val="3E6E707C"/>
    <w:rsid w:val="3FB91BA4"/>
    <w:rsid w:val="3FC22752"/>
    <w:rsid w:val="418879B1"/>
    <w:rsid w:val="421630A4"/>
    <w:rsid w:val="432B1A76"/>
    <w:rsid w:val="43E840B4"/>
    <w:rsid w:val="43EC1655"/>
    <w:rsid w:val="440C4340"/>
    <w:rsid w:val="4442558E"/>
    <w:rsid w:val="44811DC9"/>
    <w:rsid w:val="450E3C66"/>
    <w:rsid w:val="454309A1"/>
    <w:rsid w:val="458C06A8"/>
    <w:rsid w:val="45C47203"/>
    <w:rsid w:val="45E829E7"/>
    <w:rsid w:val="465E4F22"/>
    <w:rsid w:val="467262F8"/>
    <w:rsid w:val="46DA05EA"/>
    <w:rsid w:val="46F579AB"/>
    <w:rsid w:val="48566E44"/>
    <w:rsid w:val="48593E6F"/>
    <w:rsid w:val="48B510E7"/>
    <w:rsid w:val="493B6F1B"/>
    <w:rsid w:val="4AFF2E69"/>
    <w:rsid w:val="4BA610FC"/>
    <w:rsid w:val="4BEE1CA4"/>
    <w:rsid w:val="4CF51C39"/>
    <w:rsid w:val="4D1F6077"/>
    <w:rsid w:val="4ED2701A"/>
    <w:rsid w:val="4F1E4BBE"/>
    <w:rsid w:val="4F3537ED"/>
    <w:rsid w:val="4F954D5E"/>
    <w:rsid w:val="4FFE1B2F"/>
    <w:rsid w:val="50E13A94"/>
    <w:rsid w:val="51467837"/>
    <w:rsid w:val="52132F5D"/>
    <w:rsid w:val="528F1625"/>
    <w:rsid w:val="52AA5DFE"/>
    <w:rsid w:val="530D63A2"/>
    <w:rsid w:val="533F6C66"/>
    <w:rsid w:val="544F17E9"/>
    <w:rsid w:val="546D5003"/>
    <w:rsid w:val="54943EAC"/>
    <w:rsid w:val="54C11818"/>
    <w:rsid w:val="58AC5C79"/>
    <w:rsid w:val="58B217DC"/>
    <w:rsid w:val="58FE24B1"/>
    <w:rsid w:val="59693A9B"/>
    <w:rsid w:val="5A154FE3"/>
    <w:rsid w:val="5AEE4F52"/>
    <w:rsid w:val="5B0C2732"/>
    <w:rsid w:val="5B1D2CCC"/>
    <w:rsid w:val="5B52670E"/>
    <w:rsid w:val="5B625B54"/>
    <w:rsid w:val="5B640509"/>
    <w:rsid w:val="5B8E3054"/>
    <w:rsid w:val="5C625425"/>
    <w:rsid w:val="5C943765"/>
    <w:rsid w:val="5D006096"/>
    <w:rsid w:val="5D731ABE"/>
    <w:rsid w:val="5DB15592"/>
    <w:rsid w:val="5DF81F1B"/>
    <w:rsid w:val="5DFB50B1"/>
    <w:rsid w:val="5E2E0948"/>
    <w:rsid w:val="600D408B"/>
    <w:rsid w:val="610A5EBF"/>
    <w:rsid w:val="61245A3C"/>
    <w:rsid w:val="6178185B"/>
    <w:rsid w:val="617F00E3"/>
    <w:rsid w:val="61C04C47"/>
    <w:rsid w:val="61C170AA"/>
    <w:rsid w:val="626D5569"/>
    <w:rsid w:val="62D03E81"/>
    <w:rsid w:val="62D41879"/>
    <w:rsid w:val="6398078D"/>
    <w:rsid w:val="641A28B3"/>
    <w:rsid w:val="648A18F5"/>
    <w:rsid w:val="64C30585"/>
    <w:rsid w:val="64EC219C"/>
    <w:rsid w:val="651C53A6"/>
    <w:rsid w:val="656B5E9D"/>
    <w:rsid w:val="659D6FA9"/>
    <w:rsid w:val="65F2007E"/>
    <w:rsid w:val="66C13377"/>
    <w:rsid w:val="67927D39"/>
    <w:rsid w:val="68085778"/>
    <w:rsid w:val="688B43B5"/>
    <w:rsid w:val="68EE1292"/>
    <w:rsid w:val="69B07B1E"/>
    <w:rsid w:val="69E22ED5"/>
    <w:rsid w:val="6A15326A"/>
    <w:rsid w:val="6AA821A5"/>
    <w:rsid w:val="6B8A6BF3"/>
    <w:rsid w:val="6BFA1460"/>
    <w:rsid w:val="6C013F77"/>
    <w:rsid w:val="6C181FB4"/>
    <w:rsid w:val="6C197CDD"/>
    <w:rsid w:val="6C5A6DDE"/>
    <w:rsid w:val="6C611252"/>
    <w:rsid w:val="6CCC1A8E"/>
    <w:rsid w:val="6E1E50A4"/>
    <w:rsid w:val="6E94457B"/>
    <w:rsid w:val="6FCE2720"/>
    <w:rsid w:val="705B684C"/>
    <w:rsid w:val="709D1797"/>
    <w:rsid w:val="714F5518"/>
    <w:rsid w:val="71AB46C8"/>
    <w:rsid w:val="74CC0B4E"/>
    <w:rsid w:val="74D35F13"/>
    <w:rsid w:val="755C76C8"/>
    <w:rsid w:val="75E43E25"/>
    <w:rsid w:val="76382CBE"/>
    <w:rsid w:val="76B47A3E"/>
    <w:rsid w:val="77A91566"/>
    <w:rsid w:val="77E167B8"/>
    <w:rsid w:val="78591F3E"/>
    <w:rsid w:val="78CA1EAE"/>
    <w:rsid w:val="792409A3"/>
    <w:rsid w:val="7A0A6068"/>
    <w:rsid w:val="7A881483"/>
    <w:rsid w:val="7AE44F5D"/>
    <w:rsid w:val="7B3065F7"/>
    <w:rsid w:val="7B405936"/>
    <w:rsid w:val="7B4F2E9A"/>
    <w:rsid w:val="7B8363CD"/>
    <w:rsid w:val="7C8A682E"/>
    <w:rsid w:val="7D5207DE"/>
    <w:rsid w:val="7E29024A"/>
    <w:rsid w:val="7F111F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color w:val="555555"/>
      <w:sz w:val="21"/>
      <w:szCs w:val="21"/>
      <w:bdr w:val="single" w:color="CCCCCC" w:sz="6" w:space="0"/>
      <w:shd w:val="clear" w:fill="EEEEEE"/>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6"/>
    <w:qFormat/>
    <w:uiPriority w:val="0"/>
    <w:rPr>
      <w:rFonts w:ascii="Calibri" w:hAnsi="Calibri"/>
      <w:kern w:val="2"/>
      <w:sz w:val="18"/>
      <w:szCs w:val="18"/>
    </w:rPr>
  </w:style>
  <w:style w:type="character" w:customStyle="1" w:styleId="18">
    <w:name w:val="页脚 Char"/>
    <w:basedOn w:val="8"/>
    <w:link w:val="5"/>
    <w:qFormat/>
    <w:uiPriority w:val="99"/>
    <w:rPr>
      <w:rFonts w:ascii="Calibri" w:hAnsi="Calibri"/>
      <w:kern w:val="2"/>
      <w:sz w:val="18"/>
      <w:szCs w:val="22"/>
    </w:rPr>
  </w:style>
  <w:style w:type="character" w:customStyle="1" w:styleId="19">
    <w:name w:val="正文文本缩进 Char"/>
    <w:basedOn w:val="8"/>
    <w:link w:val="3"/>
    <w:qFormat/>
    <w:uiPriority w:val="0"/>
    <w:rPr>
      <w:rFonts w:ascii="仿宋_GB2312" w:hAnsi="华文中宋" w:eastAsia="仿宋_GB2312"/>
      <w:sz w:val="32"/>
      <w:szCs w:val="24"/>
    </w:rPr>
  </w:style>
  <w:style w:type="character" w:customStyle="1" w:styleId="20">
    <w:name w:val="actspan"/>
    <w:basedOn w:val="8"/>
    <w:qFormat/>
    <w:uiPriority w:val="0"/>
  </w:style>
  <w:style w:type="character" w:customStyle="1" w:styleId="21">
    <w:name w:val="layui-layer-tabnow"/>
    <w:basedOn w:val="8"/>
    <w:qFormat/>
    <w:uiPriority w:val="0"/>
    <w:rPr>
      <w:bdr w:val="single" w:color="CCCCCC" w:sz="6" w:space="0"/>
      <w:shd w:val="clear" w:fill="FFFFFF"/>
    </w:rPr>
  </w:style>
  <w:style w:type="character" w:customStyle="1" w:styleId="22">
    <w:name w:val="first-child"/>
    <w:basedOn w:val="8"/>
    <w:qFormat/>
    <w:uiPriority w:val="0"/>
  </w:style>
  <w:style w:type="character" w:customStyle="1" w:styleId="23">
    <w:name w:val="actspan2"/>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47</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叶舒</cp:lastModifiedBy>
  <cp:lastPrinted>2021-10-21T08:16:00Z</cp:lastPrinted>
  <dcterms:modified xsi:type="dcterms:W3CDTF">2021-10-22T09:31:58Z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